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spacing w:lineRule="auto" w:line="24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№1</w:t>
      </w:r>
    </w:p>
    <w:p>
      <w:pPr>
        <w:pStyle w:val="Style39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</w:t>
      </w:r>
    </w:p>
    <w:p>
      <w:pPr>
        <w:pStyle w:val="Style39"/>
        <w:tabs>
          <w:tab w:val="clear" w:pos="709"/>
          <w:tab w:val="left" w:pos="630" w:leader="none"/>
        </w:tabs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«Осуществлени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федерального государственного пожарного надзора, надзора в области гражданской обороны, надзора в области защиты населения и территорий от чрезвычайных ситуаций, а также лицензионного контроля на территории Свердловской области»</w:t>
      </w:r>
    </w:p>
    <w:p>
      <w:pPr>
        <w:pStyle w:val="Style39"/>
        <w:bidi w:val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№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2</w:t>
      </w:r>
    </w:p>
    <w:p>
      <w:pPr>
        <w:pStyle w:val="Style39"/>
        <w:bidi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ab/>
        <w:t xml:space="preserve">На территории Свердловской области за 2023 год произошло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8400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пожаров,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8482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пожара (2022 — 8363, увеличение на 1,4%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, на которых погибло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240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человек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(2022 — 250 человек, снижение на — 4%)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, в том числе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несовершеннолетних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(2022 — 13, снижение в 2,6 раза)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, получили травмы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269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человек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(2022 — 232 человека, увеличение на 16%),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в том числе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29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несовершеннолетних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(2022 — 28, увеличение на 3,6%).</w:t>
      </w:r>
    </w:p>
    <w:p>
      <w:pPr>
        <w:pStyle w:val="Style39"/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Материальный ущерб составил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несколько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млрд. рублей.</w:t>
      </w:r>
    </w:p>
    <w:p>
      <w:pPr>
        <w:pStyle w:val="Style39"/>
        <w:bidi w:val="0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39"/>
        <w:bidi w:val="0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3-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8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Объекты предпринимательской деятельности не исключение. В 2023 году произошло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увеличение пожаров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на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12,7%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чем в 2022 году. На данных пожарах  погиб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человек и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человек получили травмы (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ru-RU" w:bidi="ru-RU"/>
        </w:rPr>
        <w:t>2022 – 4 человека погибли, 10 человек травмированы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При этом в 2023 году пожары на объектах предпринимательской деятельности составили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47,8%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от общего количества пожаров на поднадзорных объектах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ru-RU" w:bidi="ru-RU"/>
        </w:rPr>
        <w:t>297 пожаров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). </w:t>
      </w:r>
    </w:p>
    <w:p>
      <w:pPr>
        <w:pStyle w:val="Normal"/>
        <w:ind w:firstLine="709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Так пожар в здании по производству лакокрасочных изделий АО НПХ ВМП в городе Арамиле. В результате пожара повреждено здание цеха, уничтожено оборудование, сырье и имущество на общей площади 4000 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vertAlign w:val="superscript"/>
          <w:lang w:val="ru-RU" w:eastAsia="ru-RU" w:bidi="ru-RU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. Ущерб от пожара превысил 1 миллиард рублей.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Пожар на территории предприятия Акционерного общества «Уральская фольга» в Нижнесергинском районе. В результате пожара юридическому лицу нанесён материальный ущерб в размере более 2 млрд. 600 млн. руб.</w:t>
      </w:r>
    </w:p>
    <w:p>
      <w:pPr>
        <w:pStyle w:val="Normal"/>
        <w:bidi w:val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Данная негативная тенденция сохраняется и в 2024 году. На сегодняшний день на объектах предпринимательской деятельности уже произошло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увеличение пожаров в 3 раза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.</w:t>
      </w:r>
    </w:p>
    <w:p>
      <w:pPr>
        <w:pStyle w:val="Normal"/>
        <w:bidi w:val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Так пожар на территории ООО «Электромашиностроительный завод»,  промышленная площадка Уралмашзавода. В результате пожара повреждено здание цеха, уничтожено оборудование, сырье и имущество на общей площади 4500 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vertAlign w:val="superscript"/>
          <w:lang w:val="ru-RU" w:eastAsia="ru-RU" w:bidi="ru-RU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. Предварительный ущерб свыше 1 миллиарда рублей.</w:t>
      </w:r>
    </w:p>
    <w:p>
      <w:pPr>
        <w:pStyle w:val="Normal"/>
        <w:bidi w:val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r>
    </w:p>
    <w:p>
      <w:pPr>
        <w:pStyle w:val="Style39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9</w:t>
      </w:r>
    </w:p>
    <w:p>
      <w:pPr>
        <w:pStyle w:val="Style39"/>
        <w:bidi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ab/>
        <w:t xml:space="preserve">На территории Свердловской области на учете находится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45 тыс.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объектов защиты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(45297)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, в среднем на одного инспектора -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162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LO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В 2023 году проведено порядка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2900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контрольных (надзорных) мероприятий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(2818)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, в среднем на 1 инспектора — 10,1 проверка (РФ — 7,1).</w:t>
      </w:r>
    </w:p>
    <w:p>
      <w:pPr>
        <w:pStyle w:val="LO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Выявлено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17,5 тыс.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нарушени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требований пожарной безопасности, в среднем 1 инспектором выявляется 62,7 нарушения.</w:t>
      </w:r>
    </w:p>
    <w:p>
      <w:pPr>
        <w:pStyle w:val="LO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ручено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1700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1692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) предписани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, в среднем на 1 инспектора — 6 предписаний (среднероссийский показатель — 3,5).</w:t>
      </w:r>
    </w:p>
    <w:p>
      <w:pPr>
        <w:pStyle w:val="LO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Процент исполнения предписаний  органов ГПН в 2023 году состав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ил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—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81,3%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(среднероссийский показатель — 62,4%).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r>
    </w:p>
    <w:p>
      <w:pPr>
        <w:pStyle w:val="Style39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10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/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Одним из ключевых направлений в 2023 году стал контроль за соблюдением лицензиатами лицензионных требований при выполнении работ в области пожарной безопасности на объектах защиты.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/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Так, в 2023 году в ходе плановых проверок по пожарной безопасности проверено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1175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объектов защиты всех категорий, на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862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из них</w:t>
        <w:br/>
        <w:t xml:space="preserve">выявлено более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12 тыс.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нарушений, из которых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7200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нарушений - это нарушения требований, предъявляемые к проектированию, монтажу и техническому обслуживанию средств противопожарной защиты.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Такие нарушения приходятся на объекты различного класса функциональной пожарной опасности, например: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из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1822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объектов образования на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122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системы пожарной сигнализации находятся в ненадлежащем техническом состоянии,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198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зданий, на которых системы эксплуатируются с истекшим сроком службы;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из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274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общежитий на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73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выявлено ненадлежащее техническое обслуживание системы пожарной сигнализации, в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60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зданиях </w:t>
      </w:r>
      <w:bookmarkStart w:id="0" w:name="_GoBack41"/>
      <w:bookmarkEnd w:id="0"/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системы эксплуатируются с истекшим сроком службы,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20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общежитий не обеспечены дублированием сигнала о пожаре в подразделение пожарной охраны;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из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90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объектов системы социальной защиты на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20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выявлено ненадлежащее техническое обслуживание системы пожарной сигнализации,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10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зданий социальной защиты, на которых системы эксплуатируются с истекшим сроком службы.</w:t>
      </w:r>
    </w:p>
    <w:p>
      <w:pPr>
        <w:pStyle w:val="Standard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В 2023 году по факту выявленных нарушений к системам противопожарной защиты инспекторским составом в отношении лицензиатов приняты административные меры в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278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случаях (</w:t>
      </w:r>
      <w:r>
        <w:rPr>
          <w:rFonts w:eastAsia="Calibri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en-US" w:bidi="ru-RU"/>
        </w:rPr>
        <w:t>АППГ 151, увеличение на 45%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) с выдачей соответствующих предостережений о недопустимости нарушения обязательных требований и объявлении предупреждений о прекращении действий (бездействий), которые содержали признаки нарушения лицензионных требований. </w:t>
      </w:r>
    </w:p>
    <w:p>
      <w:pPr>
        <w:pStyle w:val="Standard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В связи с выявлением лицензирующим органом грубых нарушений лицензионных требований на объектах заказчика приостановлено</w:t>
        <w:br/>
        <w:t xml:space="preserve">действие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11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лицензий на осуществление деятельности в области пожарной безопасности, аннулировано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3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 xml:space="preserve"> лицензии по решению суда.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r>
    </w:p>
    <w:p>
      <w:pPr>
        <w:pStyle w:val="Style39"/>
        <w:tabs>
          <w:tab w:val="clear" w:pos="709"/>
          <w:tab w:val="left" w:pos="1080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11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Реализуя функцию по надзору за соответствием пожарно-технической и строительной продукции Управлением надзорной деятельности и профилактической работы Главного управления, выявлен ряд грубых нарушений, связанных с применением сертифицируемой продукции при строительстве объектов Универсиды.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Так, при строительстве здания Дворца водных видов спорта не проводилась должная проверка качества шумопоглощающих панелей в количестве свыше 6000 шт., поставленных для строительства объекта капитального строительств, что стало причиной монтажа панелей, не соответствующих требованиям пожарной безопасности при отделке зальных помещений (ущерб составил свыше 80 млн. рублей).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Другим объектом Универсиады, на котором выявлены грубые нарушения при строительстве стал «Общественный центр Универсиады-2023», в котором сотрудниками Управления при осмотре выявлены факты нарушения маркировки противопожарных дверей, включая признаки контрафакта и фальсификации.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В обоих случая, по информации Главного управления уполномоченными органами проводятся необходимые следственные действия в рамках возбужденных уголовных дел.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ab/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В целом по результатам проверок отмечается низкий уровень контроля со стороны заказчиков и подрядных организаций за качеством применяемых строительных материалов.</w:t>
      </w:r>
    </w:p>
    <w:p>
      <w:pPr>
        <w:pStyle w:val="Style32"/>
        <w:tabs>
          <w:tab w:val="clear" w:pos="709"/>
          <w:tab w:val="left" w:pos="1080" w:leader="none"/>
        </w:tabs>
        <w:ind w:firstLine="709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r>
    </w:p>
    <w:p>
      <w:pPr>
        <w:pStyle w:val="Style39"/>
        <w:tabs>
          <w:tab w:val="clear" w:pos="709"/>
          <w:tab w:val="left" w:pos="1080" w:leader="none"/>
        </w:tabs>
        <w:bidi w:val="0"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 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Коллеги, Государственными инспекторами Свердловской области по пожарному надзору в 2023 году возбуждено более </w:t>
      </w:r>
      <w:bookmarkStart w:id="1" w:name="_Hlk157722042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4</w:t>
      </w:r>
      <w:bookmarkEnd w:id="1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тыс. 800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дел об административных правонарушениях, что на 43% больше чем в 2022 году.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При этом, на одного инспектора в Свердловской области показатель по количеству протоколов об административных правонарушениях составил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17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протоколов, что выше среднероссийского показателя более чем в 2 раза, из них практически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протокола на юридических лиц.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Source Han Sans CN Regular" w:cs="Lohit Devanagari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азначено </w:t>
      </w:r>
      <w:r>
        <w:rPr>
          <w:rFonts w:ascii="Times New Roman" w:hAnsi="Times New Roman"/>
          <w:b/>
          <w:color w:val="000000"/>
          <w:sz w:val="28"/>
          <w:szCs w:val="28"/>
        </w:rPr>
        <w:t>2627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наказаний в виде штрафа на сумму более </w:t>
      </w:r>
      <w:r>
        <w:rPr>
          <w:rFonts w:eastAsia="Source Han Sans CN Regular" w:cs="Lohit Devanagari" w:ascii="Times New Roman" w:hAnsi="Times New Roman"/>
          <w:b/>
          <w:bCs/>
          <w:color w:val="000000"/>
          <w:kern w:val="2"/>
          <w:sz w:val="28"/>
          <w:szCs w:val="28"/>
          <w:lang w:val="ru-RU" w:eastAsia="ru-RU" w:bidi="ru-RU"/>
        </w:rPr>
        <w:t>86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миллионов рубле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й (АППГ —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30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млн.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665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тыс. руб), из которых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29 миллионо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 за </w:t>
      </w:r>
      <w:r>
        <w:rPr>
          <w:rFonts w:eastAsia="Source Han Sans CN Regular" w:cs="Lohit Devanagari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ru-RU" w:bidi="ru-RU"/>
        </w:rPr>
        <w:t>нарушения требований пожарной безопасности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 условиях особого противопожарного режима. </w:t>
        <w:tab/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одного инспектора по пожарному надзору Свердловской области назначено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наказаний в виде штрафа, что выше среднероссийского показателя более чем в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раза.</w:t>
      </w:r>
    </w:p>
    <w:p>
      <w:pPr>
        <w:pStyle w:val="Normal"/>
        <w:widowControl/>
        <w:tabs>
          <w:tab w:val="clear" w:pos="709"/>
          <w:tab w:val="left" w:pos="1080" w:leader="none"/>
        </w:tabs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Исполнено более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2 тыс. 300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постановлений, вынесенных Государственными инспекторами в 2023 году, что составляет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88,2%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от общей суммы назначенных административных штрафов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(сумма взысканных административных штрафов составила более 68 миллионов рублей)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tabs>
          <w:tab w:val="clear" w:pos="709"/>
          <w:tab w:val="left" w:pos="1080" w:leader="none"/>
        </w:tabs>
        <w:bidi w:val="0"/>
        <w:spacing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 </w:t>
      </w:r>
    </w:p>
    <w:p>
      <w:pPr>
        <w:pStyle w:val="Style39"/>
        <w:bidi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2023 года дознавателями органов ГПН ФПС расследование в форме дознания осуществлялось по 50 уголовным делам, из которых 33 возбуждены по фактам уничтожения (повреждения) лесных и иных насаждений.</w:t>
      </w:r>
    </w:p>
    <w:p>
      <w:pPr>
        <w:pStyle w:val="Style39"/>
        <w:bidi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сегодняшний день до суда доведено 6 уголовных дел. По остальным уголовным делам имеется положительная динамика раскрываемости подследственных органам дознания категорий преступлений.</w:t>
      </w:r>
    </w:p>
    <w:p>
      <w:pPr>
        <w:pStyle w:val="Style39"/>
        <w:bidi w:val="0"/>
        <w:spacing w:before="0" w:after="0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Справочно:</w:t>
      </w:r>
    </w:p>
    <w:p>
      <w:pPr>
        <w:pStyle w:val="Style39"/>
        <w:bidi w:val="0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1)</w:t>
        <w:tab/>
        <w:t>15 возбуждены по признакам прес</w:t>
      </w:r>
      <w:bookmarkStart w:id="2" w:name="_GoBack11"/>
      <w:bookmarkEnd w:id="2"/>
      <w:r>
        <w:rPr>
          <w:rFonts w:ascii="Times New Roman" w:hAnsi="Times New Roman"/>
          <w:i/>
          <w:iCs/>
          <w:sz w:val="24"/>
          <w:szCs w:val="24"/>
        </w:rPr>
        <w:t>тупления, предусмотренного ст. 168 УК РФ;</w:t>
      </w:r>
    </w:p>
    <w:p>
      <w:pPr>
        <w:pStyle w:val="Style39"/>
        <w:bidi w:val="0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2)</w:t>
        <w:tab/>
        <w:t>32 уголовных дела возбуждены по признакам преступления, предусмотренного ч. 1 ст. 261 УК РФ.</w:t>
      </w:r>
    </w:p>
    <w:p>
      <w:pPr>
        <w:pStyle w:val="Style39"/>
        <w:bidi w:val="0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 уголовных дела – переходящие с 2022 года.</w:t>
      </w:r>
    </w:p>
    <w:p>
      <w:pPr>
        <w:pStyle w:val="Normal"/>
        <w:bidi w:val="0"/>
        <w:spacing w:before="57" w:after="57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результатам расследования уголовных дел дознавателями органов ГПН ФПС приняты следующие решения:</w:t>
      </w:r>
    </w:p>
    <w:p>
      <w:pPr>
        <w:pStyle w:val="Normal"/>
        <w:numPr>
          <w:ilvl w:val="0"/>
          <w:numId w:val="1"/>
        </w:numPr>
        <w:bidi w:val="0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 постановления о возбуждении уголовного дела отменены прокурором. По материалам приняты решения об отказе в возбуждения уголовного дела в порядке ст. 145, 148 УПК РФ;</w:t>
      </w:r>
    </w:p>
    <w:p>
      <w:pPr>
        <w:pStyle w:val="Normal"/>
        <w:numPr>
          <w:ilvl w:val="0"/>
          <w:numId w:val="1"/>
        </w:numPr>
        <w:bidi w:val="0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22 уголовных дела направлены в соответствии со ст. 151 УПК РФ по подследственности в иные правоохранительные органы, в том числе, 3 уголовных дела с установленным виновным лицом (виновное лицо невменяемое, истечение срока дознания по уголовному делу);</w:t>
      </w:r>
    </w:p>
    <w:p>
      <w:pPr>
        <w:pStyle w:val="Normal"/>
        <w:numPr>
          <w:ilvl w:val="0"/>
          <w:numId w:val="1"/>
        </w:numPr>
        <w:bidi w:val="0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связи с неустановлением лица причастного к совершению преступления приостановлено </w:t>
      </w:r>
      <w:r>
        <w:rPr>
          <w:rFonts w:eastAsia="Source Han Sans CN Regular" w:cs="Lohit Devanagari" w:ascii="Times New Roman" w:hAnsi="Times New Roman"/>
          <w:i/>
          <w:iCs/>
          <w:color w:val="auto"/>
          <w:kern w:val="2"/>
          <w:sz w:val="24"/>
          <w:szCs w:val="24"/>
          <w:lang w:val="ru-RU" w:eastAsia="ru-RU" w:bidi="ru-RU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уголовных дел, из которых 13 уголовных дел подготовлены для последующего прекращения за отсутствием события преступления, предусмотренного ст. 261 УК РФ.</w:t>
      </w:r>
    </w:p>
    <w:p>
      <w:pPr>
        <w:pStyle w:val="Normal"/>
        <w:numPr>
          <w:ilvl w:val="0"/>
          <w:numId w:val="1"/>
        </w:numPr>
        <w:bidi w:val="0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производство дознания по </w:t>
      </w:r>
      <w:r>
        <w:rPr>
          <w:rFonts w:eastAsia="Source Han Sans CN Regular" w:cs="Lohit Devanagari" w:ascii="Times New Roman" w:hAnsi="Times New Roman"/>
          <w:i/>
          <w:iCs/>
          <w:color w:val="auto"/>
          <w:kern w:val="2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 xml:space="preserve"> уголовным делам прекращено за отсутствием события преступления (причина пожара не связана с неосторожным обращением с огнем), а также в связи со смертью подозреваемого (обвиняемого);</w:t>
      </w:r>
    </w:p>
    <w:p>
      <w:pPr>
        <w:pStyle w:val="Normal"/>
        <w:numPr>
          <w:ilvl w:val="0"/>
          <w:numId w:val="1"/>
        </w:numPr>
        <w:bidi w:val="0"/>
        <w:ind w:left="0" w:right="0" w:firstLine="709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 суда доведено </w:t>
      </w:r>
      <w:r>
        <w:rPr>
          <w:rFonts w:eastAsia="Source Han Sans CN Regular" w:cs="Lohit Devanagari" w:ascii="Times New Roman" w:hAnsi="Times New Roman"/>
          <w:i/>
          <w:iCs/>
          <w:color w:val="auto"/>
          <w:kern w:val="2"/>
          <w:sz w:val="24"/>
          <w:szCs w:val="24"/>
          <w:lang w:val="ru-RU" w:eastAsia="ru-RU" w:bidi="ru-RU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уголовных дел.</w:t>
      </w:r>
    </w:p>
    <w:p>
      <w:pPr>
        <w:pStyle w:val="Style39"/>
        <w:bidi w:val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Слайд №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14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Коллеги, особую значимость на фоне сложившейся обстановки, связанной с проведением специальной военной операции, приобретают мероприятия по гражданской обороне.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Так в рамках исполнения поручения Президента Российской Федерации В.В. Путина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ru-RU" w:bidi="ru-RU"/>
        </w:rPr>
        <w:t>(протокол Совета Безопасности РФ от 10.11.2022)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в 2023 году проведено 204 выездных контрольных (надзорных) мероприятий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в отношении организаций, эксплуатирующие защитные сооружения гражданской обороны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4"/>
          <w:szCs w:val="24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ru-RU" w:bidi="ru-RU"/>
        </w:rPr>
        <w:t>- 16 плановых выездных контрольных (надзорных) мероприятий, из них 1 плановая проверка в отношении ТУ Росимущества по Свердловской области;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4"/>
          <w:szCs w:val="24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ru-RU" w:eastAsia="ru-RU" w:bidi="ru-RU"/>
        </w:rPr>
        <w:t>- 188 внеплановых контрольных (надзорных) мероприятий в отношении объектов надзора, из них 1 проверка в отношении ТУ Росимущества по Свердловской области, 9 в отношении органов местного самоуправления, 179 проверок в отношении деятельности организаций.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В ходе проведения мероприятий по контролю должностными лицами обследовано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3140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защитных сооружений гражданской обороны.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Выдано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119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предписаний об устранении нарушений обязательных требований, выявлено порядка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15 тыс. нарушени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й (14897) при эксплуатации и содержании защитных сооружений гражданской обороны 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По результатам проведенных надзорных мероприятий возбуждено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119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дел об административных правонарушениях, из них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95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на юридических лиц и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24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на должностных.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По результатам рассмотрения дел об административных правонарушениях мировым судом вынесено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94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постановления о наказании в виде наложения штрафа на общую сумму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1 млн. 800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 xml:space="preserve">тыс. руб.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Слайд №1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en-US" w:bidi="ru-RU"/>
        </w:rPr>
        <w:t>5</w:t>
      </w:r>
    </w:p>
    <w:p>
      <w:pPr>
        <w:pStyle w:val="Normal"/>
        <w:bidi w:val="0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Особое значение уделяется проведению профилактических мероприятий в отношении объектов надзора. </w:t>
      </w:r>
    </w:p>
    <w:p>
      <w:pPr>
        <w:pStyle w:val="Style39"/>
        <w:bidi w:val="0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На территории Свердловской области  органами государственного пожарного надзора объявлено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1809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предостережений, в среднем на 1 инспектора 6,5 предостережений.</w:t>
      </w:r>
    </w:p>
    <w:p>
      <w:pPr>
        <w:pStyle w:val="Style39"/>
        <w:bidi w:val="0"/>
        <w:rPr>
          <w:highlight w:val="yellow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ab/>
        <w:t xml:space="preserve">При этом, отмечаю, что на территории области в 2023 году организовано и проведено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34 тыс.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информирований по вопросам соблюдений обязательных требований,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11 тыс.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консультирований контролируемых лиц.</w:t>
      </w:r>
    </w:p>
    <w:p>
      <w:pPr>
        <w:pStyle w:val="Style39"/>
        <w:bidi w:val="0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Также проведено более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5 тыс.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массовых профилактических мероприятий, в том числе с детьми, порядка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2 тыс.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800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рейдов по местам проживания многодетных семей, одиноко проживающих пенсионеров, социально неадаптивных граждан.</w:t>
      </w:r>
    </w:p>
    <w:p>
      <w:pPr>
        <w:pStyle w:val="Style39"/>
        <w:bidi w:val="0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В окончании своего доклада хочу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акцентировать ваше внимание на 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, что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деятельность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федерального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государственного пожарного надзора направлен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на предупреждение, выявление и пресечение нарушений организациями и гражданами требований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в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пожарной безопасности, снижение травматизма и гибели людей, детей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престарелых граждан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при пожарах, посредством проведения в установленном порядке проверок деятельности организаций и граждан, состояния используемых (эксплуатируемых) ими объектов защиты, территорий,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а также проведения соответствующей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val="ru-RU" w:eastAsia="ru-RU" w:bidi="ru-RU"/>
        </w:rPr>
        <w:t>профилактической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работы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. </w:t>
      </w:r>
    </w:p>
    <w:p>
      <w:pPr>
        <w:pStyle w:val="Style39"/>
        <w:bidi w:val="0"/>
        <w:spacing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Вместе с этим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руководители организаций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и граждане, в соответствии с действующим законодательством,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обязаны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соблюдать требования пожарной безопасности, выполнять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законные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предписания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постановления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должностных лиц ФГПН, неся персональную ответственность за их соблюдение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Style39"/>
        <w:bidi w:val="0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widowControl/>
        <w:bidi w:val="0"/>
        <w:spacing w:lineRule="auto" w:line="240" w:before="12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Доклад окончен, благодарю за внимание!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LibreOffice/6.4.4.2$Linux_X86_64 LibreOffice_project/40$Build-2</Application>
  <Pages>5</Pages>
  <Words>1511</Words>
  <Characters>10133</Characters>
  <CharactersWithSpaces>11609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2024-02-19T18:41:05Z</dcterms:created>
  <dc:creator/>
  <dc:description/>
  <dc:language>ru-RU</dc:language>
  <cp:lastModifiedBy/>
  <cp:lastPrinted>2024-04-11T09:29:17Z</cp:lastPrinted>
  <dcterms:modified xsi:type="dcterms:W3CDTF">2024-04-11T10:23:30Z</dcterms:modified>
  <cp:revision>140</cp:revision>
  <dc:subject/>
  <dc:title>Default</dc:title>
</cp:coreProperties>
</file>