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C" w:rsidRPr="001C67BF" w:rsidRDefault="00B0486C" w:rsidP="00B048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B0486C" w:rsidRDefault="00B0486C" w:rsidP="00B04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0486C" w:rsidRPr="001C67BF" w:rsidRDefault="00B0486C" w:rsidP="00B04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0486C" w:rsidRPr="001C67BF" w:rsidRDefault="00B0486C" w:rsidP="00B04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от «____»_________ № _____</w:t>
      </w:r>
    </w:p>
    <w:p w:rsidR="00B0486C" w:rsidRDefault="00B0486C" w:rsidP="00B0486C">
      <w:pPr>
        <w:pStyle w:val="ConsPlusNonformat"/>
        <w:jc w:val="center"/>
        <w:rPr>
          <w:sz w:val="28"/>
          <w:szCs w:val="28"/>
        </w:rPr>
      </w:pPr>
    </w:p>
    <w:p w:rsidR="00B0486C" w:rsidRPr="008F1DA8" w:rsidRDefault="00B0486C" w:rsidP="00B0486C">
      <w:pPr>
        <w:suppressAutoHyphens/>
        <w:autoSpaceDN w:val="0"/>
        <w:jc w:val="center"/>
        <w:textAlignment w:val="baseline"/>
        <w:rPr>
          <w:rFonts w:ascii="Liberation Serif" w:hAnsi="Liberation Serif"/>
          <w:sz w:val="24"/>
          <w:szCs w:val="24"/>
        </w:rPr>
      </w:pPr>
    </w:p>
    <w:tbl>
      <w:tblPr>
        <w:tblW w:w="10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  <w:gridCol w:w="558"/>
      </w:tblGrid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8F1DA8" w:rsidRDefault="00B0486C" w:rsidP="00267782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F1DA8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86C" w:rsidRPr="008F1DA8" w:rsidRDefault="00B0486C" w:rsidP="0026778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F1DA8">
              <w:rPr>
                <w:rFonts w:ascii="Liberation Serif" w:hAnsi="Liberation Serif"/>
                <w:sz w:val="24"/>
                <w:szCs w:val="24"/>
              </w:rPr>
              <w:t>QR-код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8F1DA8" w:rsidRDefault="00B0486C" w:rsidP="00267782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F1DA8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86C" w:rsidRPr="008F1DA8" w:rsidRDefault="00B0486C" w:rsidP="00267782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Default="00B0486C" w:rsidP="0026778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</w:rPr>
              <w:drawing>
                <wp:inline distT="0" distB="0" distL="0" distR="0">
                  <wp:extent cx="495300" cy="809625"/>
                  <wp:effectExtent l="0" t="0" r="0" b="9525"/>
                  <wp:docPr id="1" name="Рисунок 1" descr="Описание: kmsr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kmsr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6C" w:rsidRDefault="00B0486C" w:rsidP="00267782">
            <w:pPr>
              <w:rPr>
                <w:rFonts w:ascii="Arial" w:hAnsi="Arial" w:cs="Arial"/>
                <w:b/>
              </w:rPr>
            </w:pPr>
          </w:p>
          <w:p w:rsidR="00B0486C" w:rsidRPr="003E325D" w:rsidRDefault="00B0486C" w:rsidP="002677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 xml:space="preserve">АДМИНИСТРАЦИЯ </w:t>
            </w:r>
          </w:p>
          <w:p w:rsidR="00B0486C" w:rsidRPr="003E325D" w:rsidRDefault="00B0486C" w:rsidP="002677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 xml:space="preserve">КАМЫШЛОВСКОГО МУНИЦИПАЛЬНОГО РАЙОНА </w:t>
            </w:r>
          </w:p>
          <w:p w:rsidR="00B0486C" w:rsidRPr="003E325D" w:rsidRDefault="00B0486C" w:rsidP="002677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>СВЕРДЛОВСКОЙ ОБЛАСТИ</w:t>
            </w:r>
          </w:p>
          <w:p w:rsidR="00B0486C" w:rsidRDefault="00B0486C" w:rsidP="0026778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B0486C" w:rsidRDefault="00B0486C" w:rsidP="0026778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B0486C" w:rsidRPr="00C66276" w:rsidRDefault="00B0486C" w:rsidP="00267782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 xml:space="preserve">Проверочный лист, применяемый при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Pr="00C66276">
              <w:rPr>
                <w:sz w:val="24"/>
                <w:szCs w:val="24"/>
              </w:rPr>
              <w:t>Камышловского</w:t>
            </w:r>
            <w:proofErr w:type="spellEnd"/>
            <w:r w:rsidRPr="00C66276">
              <w:rPr>
                <w:sz w:val="24"/>
                <w:szCs w:val="24"/>
              </w:rPr>
              <w:t xml:space="preserve"> муниципального района </w:t>
            </w:r>
          </w:p>
          <w:p w:rsidR="00B0486C" w:rsidRPr="008F1DA8" w:rsidRDefault="00B0486C" w:rsidP="0026778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486C" w:rsidRPr="008F1DA8" w:rsidRDefault="00B0486C" w:rsidP="0026778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8F1DA8" w:rsidRDefault="00B0486C" w:rsidP="00267782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F1DA8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tabs>
                <w:tab w:val="left" w:pos="993"/>
              </w:tabs>
              <w:suppressAutoHyphens/>
              <w:autoSpaceDN w:val="0"/>
              <w:spacing w:before="240" w:after="200" w:line="228" w:lineRule="auto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 xml:space="preserve">2. Форма проверочного листа утверждена постановлением администрации </w:t>
            </w:r>
            <w:proofErr w:type="spellStart"/>
            <w:r w:rsidRPr="00C66276">
              <w:rPr>
                <w:sz w:val="24"/>
                <w:szCs w:val="24"/>
              </w:rPr>
              <w:t>Камышловского</w:t>
            </w:r>
            <w:proofErr w:type="spellEnd"/>
            <w:r w:rsidRPr="00C66276">
              <w:rPr>
                <w:sz w:val="24"/>
                <w:szCs w:val="24"/>
              </w:rPr>
              <w:t xml:space="preserve"> муниципального района</w:t>
            </w:r>
            <w:r w:rsidRPr="00C66276">
              <w:rPr>
                <w:i/>
                <w:sz w:val="24"/>
                <w:szCs w:val="24"/>
              </w:rPr>
              <w:t xml:space="preserve"> </w:t>
            </w:r>
            <w:r w:rsidRPr="00C66276">
              <w:rPr>
                <w:sz w:val="24"/>
                <w:szCs w:val="24"/>
              </w:rPr>
              <w:t xml:space="preserve"> от «___» _________20___ г. №______ 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 xml:space="preserve">3.  </w:t>
            </w:r>
            <w:proofErr w:type="gramStart"/>
            <w:r w:rsidRPr="00C66276">
              <w:rPr>
                <w:sz w:val="24"/>
                <w:szCs w:val="24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5. Объект муниципального контроля_____________________________________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486C" w:rsidRPr="008F1DA8" w:rsidRDefault="00B0486C" w:rsidP="00267782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5. Реквизиты решения о проведении контрольного мероприятия: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 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7. Должность, фамилия и инициалы должностного лица (лиц) контрольного органа, проводящег</w:t>
            </w:r>
            <w:proofErr w:type="gramStart"/>
            <w:r w:rsidRPr="00C66276">
              <w:rPr>
                <w:sz w:val="24"/>
                <w:szCs w:val="24"/>
              </w:rPr>
              <w:t>о(</w:t>
            </w:r>
            <w:proofErr w:type="gramEnd"/>
            <w:r w:rsidRPr="00C66276">
              <w:rPr>
                <w:sz w:val="24"/>
                <w:szCs w:val="24"/>
              </w:rPr>
              <w:t>-их) контрольное мероприятие и заполняющего(-их) проверочный лист</w:t>
            </w: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  <w:p w:rsidR="00B0486C" w:rsidRPr="00C66276" w:rsidRDefault="00B0486C" w:rsidP="00267782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486C" w:rsidRPr="008F1DA8" w:rsidTr="00267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86C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F1DA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8. </w:t>
            </w:r>
            <w:r w:rsidRPr="00C66276">
              <w:rPr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2974"/>
              <w:gridCol w:w="2472"/>
              <w:gridCol w:w="354"/>
              <w:gridCol w:w="405"/>
              <w:gridCol w:w="1464"/>
              <w:gridCol w:w="1968"/>
            </w:tblGrid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B0486C" w:rsidRPr="008F1DA8" w:rsidRDefault="00B0486C" w:rsidP="00267782">
                  <w:pPr>
                    <w:suppressAutoHyphens/>
                    <w:autoSpaceDN w:val="0"/>
                    <w:ind w:left="57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Вопросы, отражающие содержание обязательных требований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19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Ответы на вопросы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B0486C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Примечание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proofErr w:type="gramStart"/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(подлежит обязательному заполнению в случае заполнения графы</w:t>
                  </w:r>
                  <w:proofErr w:type="gramEnd"/>
                </w:p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«неприменимо»)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7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B0486C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57" w:hanging="357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пункты 3, 8 Порядка установления и использования полос </w:t>
                  </w:r>
                  <w:proofErr w:type="gramStart"/>
                  <w:r w:rsidRPr="008F1DA8">
                    <w:rPr>
                      <w:sz w:val="24"/>
                      <w:szCs w:val="24"/>
                    </w:rPr>
                    <w:t>отвода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12.01.2011 № 6-ПП.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</w:t>
                  </w: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bCs/>
                      <w:sz w:val="24"/>
                      <w:szCs w:val="24"/>
                    </w:rPr>
                    <w:t xml:space="preserve">Наличие разрешения на строительство, выданного в порядке, установленном Градостроительным </w:t>
                  </w:r>
                  <w:hyperlink r:id="rId7" w:history="1">
                    <w:r w:rsidRPr="008F1DA8">
                      <w:rPr>
                        <w:bCs/>
                        <w:sz w:val="24"/>
                        <w:szCs w:val="24"/>
                      </w:rPr>
                      <w:t>кодексом</w:t>
                    </w:r>
                  </w:hyperlink>
                  <w:r w:rsidRPr="008F1DA8">
                    <w:rPr>
                      <w:bCs/>
                      <w:sz w:val="24"/>
                      <w:szCs w:val="24"/>
                    </w:rPr>
                    <w:t xml:space="preserve"> Российской Федерации и </w:t>
                  </w:r>
                  <w:r w:rsidRPr="008F1DA8">
                    <w:rPr>
                      <w:sz w:val="24"/>
                      <w:szCs w:val="24"/>
                    </w:rPr>
      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</w:r>
                  <w:r w:rsidRPr="008F1DA8">
                    <w:rPr>
                      <w:bCs/>
                      <w:sz w:val="24"/>
                      <w:szCs w:val="24"/>
                    </w:rPr>
                    <w:t xml:space="preserve">, в </w:t>
                  </w:r>
                  <w:r w:rsidRPr="008F1DA8">
                    <w:rPr>
                      <w:bCs/>
                      <w:sz w:val="24"/>
                      <w:szCs w:val="24"/>
                    </w:rPr>
                    <w:lastRenderedPageBreak/>
                    <w:t>случаях строительства, реконструкции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lastRenderedPageBreak/>
                    <w:t xml:space="preserve">части 4, 5 статьи 22 Федерального закона от 08 ноября 2007 года № 257-ФЗ </w:t>
                  </w:r>
                  <w:r w:rsidRPr="008F1DA8">
                    <w:rPr>
                      <w:sz w:val="24"/>
                      <w:szCs w:val="24"/>
                    </w:rPr>
                    <w:br/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 13 Порядка </w:t>
                  </w:r>
                  <w:r w:rsidRPr="008F1DA8">
                    <w:rPr>
                      <w:sz w:val="24"/>
                      <w:szCs w:val="24"/>
                    </w:rPr>
                    <w:lastRenderedPageBreak/>
                    <w:t xml:space="preserve">установления 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ind w:firstLine="44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часть 1 статьи 22 и пункт 8 статьи 26 Федерального закона от 08 ноября 2007 года </w:t>
                  </w:r>
                  <w:r w:rsidRPr="008F1DA8">
                    <w:rPr>
                      <w:sz w:val="24"/>
                      <w:szCs w:val="24"/>
                    </w:rPr>
                    <w:br/>
      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 8 Порядка установления </w:t>
                  </w:r>
                  <w:r w:rsidRPr="008F1DA8">
                    <w:rPr>
                      <w:sz w:val="24"/>
                      <w:szCs w:val="24"/>
                    </w:rPr>
                    <w:br/>
                    <w:t xml:space="preserve">и использования придорожных </w:t>
                  </w:r>
                  <w:proofErr w:type="gramStart"/>
                  <w:r w:rsidRPr="008F1DA8">
                    <w:rPr>
                      <w:sz w:val="24"/>
                      <w:szCs w:val="24"/>
                    </w:rPr>
                    <w:t>полос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 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Наличие договора о присоединении объекта дорожного сервиса к автомобильной дороге с её владельцем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часть 7 статьи 22 Федерального закона от 08 ноября 2007 года № 257-ФЗ 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      </w:r>
                  <w:r w:rsidRPr="008F1DA8">
                    <w:rPr>
                      <w:sz w:val="24"/>
                      <w:szCs w:val="24"/>
                    </w:rPr>
                    <w:lastRenderedPageBreak/>
                    <w:t>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пункты 10, 16 Порядка установления </w:t>
                  </w:r>
                  <w:r w:rsidRPr="008F1DA8">
                    <w:rPr>
                      <w:sz w:val="24"/>
                      <w:szCs w:val="24"/>
                    </w:rPr>
                    <w:br/>
                    <w:t xml:space="preserve">и использования придорожных </w:t>
                  </w:r>
                  <w:proofErr w:type="gramStart"/>
                  <w:r w:rsidRPr="008F1DA8">
                    <w:rPr>
                      <w:sz w:val="24"/>
                      <w:szCs w:val="24"/>
                    </w:rPr>
                    <w:t>полос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 12 Порядка установления </w:t>
                  </w:r>
                  <w:r w:rsidRPr="008F1DA8">
                    <w:rPr>
                      <w:sz w:val="24"/>
                      <w:szCs w:val="24"/>
                    </w:rPr>
                    <w:br/>
                    <w:t xml:space="preserve">и использования придорожных </w:t>
                  </w:r>
                  <w:proofErr w:type="gramStart"/>
                  <w:r w:rsidRPr="008F1DA8">
                    <w:rPr>
                      <w:sz w:val="24"/>
                      <w:szCs w:val="24"/>
                    </w:rPr>
                    <w:t>полос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</w:t>
                  </w:r>
                  <w:r w:rsidRPr="008F1DA8">
                    <w:rPr>
                      <w:sz w:val="24"/>
                      <w:szCs w:val="24"/>
                    </w:rPr>
                    <w:lastRenderedPageBreak/>
                    <w:t xml:space="preserve">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8F1DA8">
                    <w:rPr>
                      <w:sz w:val="24"/>
                      <w:szCs w:val="24"/>
                    </w:rPr>
                    <w:lastRenderedPageBreak/>
                    <w:t>ч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>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lastRenderedPageBreak/>
                    <w:t xml:space="preserve">пункт 14 Порядка установления </w:t>
                  </w:r>
                  <w:r w:rsidRPr="008F1DA8">
                    <w:rPr>
                      <w:sz w:val="24"/>
                      <w:szCs w:val="24"/>
                    </w:rPr>
                    <w:br/>
                    <w:t xml:space="preserve">и использования придорожных </w:t>
                  </w:r>
                  <w:proofErr w:type="gramStart"/>
                  <w:r w:rsidRPr="008F1DA8">
                    <w:rPr>
                      <w:sz w:val="24"/>
                      <w:szCs w:val="24"/>
                    </w:rPr>
                    <w:t>полос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 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часть 11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E w:val="0"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      </w:r>
                </w:p>
              </w:tc>
              <w:tc>
                <w:tcPr>
                  <w:tcW w:w="2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8F1DA8">
                    <w:rPr>
                      <w:sz w:val="24"/>
                      <w:szCs w:val="24"/>
                    </w:rPr>
                    <w:t>ч</w:t>
                  </w:r>
                  <w:proofErr w:type="gramEnd"/>
                  <w:r w:rsidRPr="008F1DA8">
                    <w:rPr>
                      <w:sz w:val="24"/>
                      <w:szCs w:val="24"/>
                    </w:rPr>
                    <w:t>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 xml:space="preserve">пункт 12 Порядка установления </w:t>
                  </w:r>
                </w:p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sz w:val="24"/>
                      <w:szCs w:val="24"/>
                    </w:rPr>
                  </w:pPr>
                  <w:r w:rsidRPr="008F1DA8">
                    <w:rPr>
                      <w:sz w:val="24"/>
                      <w:szCs w:val="24"/>
                    </w:rPr>
      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</w:tr>
            <w:tr w:rsidR="00B0486C" w:rsidRPr="008F1DA8" w:rsidTr="00267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proofErr w:type="gramStart"/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(должность лица, заполнившего проверочный лист (подпись)</w:t>
                  </w:r>
                  <w:proofErr w:type="gramEnd"/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486C" w:rsidRPr="008F1DA8" w:rsidRDefault="00B0486C" w:rsidP="00267782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8F1DA8">
                    <w:rPr>
                      <w:rFonts w:ascii="Liberation Serif" w:hAnsi="Liberation Serif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p w:rsidR="00B0486C" w:rsidRPr="008F1DA8" w:rsidRDefault="00B0486C" w:rsidP="00267782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D70D0" w:rsidRDefault="006D70D0">
      <w:bookmarkStart w:id="0" w:name="_GoBack"/>
      <w:bookmarkEnd w:id="0"/>
    </w:p>
    <w:sectPr w:rsidR="006D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D26"/>
    <w:multiLevelType w:val="multilevel"/>
    <w:tmpl w:val="68C6F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95F"/>
    <w:multiLevelType w:val="multilevel"/>
    <w:tmpl w:val="26B4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D"/>
    <w:rsid w:val="002526ED"/>
    <w:rsid w:val="00632BB7"/>
    <w:rsid w:val="006D70D0"/>
    <w:rsid w:val="00B0486C"/>
    <w:rsid w:val="00F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4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B0486C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4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4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B0486C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04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253F76ECBDE74FDB2F986E06BE2A51D2CF20D28159EBC721662C24D5WA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Парфёнова</dc:creator>
  <cp:keywords/>
  <dc:description/>
  <cp:lastModifiedBy>Наталья Игоревна Парфёнова</cp:lastModifiedBy>
  <cp:revision>2</cp:revision>
  <dcterms:created xsi:type="dcterms:W3CDTF">2022-03-04T05:41:00Z</dcterms:created>
  <dcterms:modified xsi:type="dcterms:W3CDTF">2022-03-04T05:42:00Z</dcterms:modified>
</cp:coreProperties>
</file>