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jc w:val="center"/>
        <w:spacing w:after="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Д О К Л А Д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70"/>
        <w:jc w:val="center"/>
        <w:spacing w:after="0"/>
        <w:rPr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к публичному обсуждению правоприменительной практики Управления Росреестра по Свердловской области  в сфере осуществления контроля (надзора) за деятельностью саморегулируемых организаций арбитражных управляющих, </w:t>
      </w:r>
      <w:r>
        <w:rPr>
          <w:b/>
          <w:color w:val="000000"/>
        </w:rPr>
        <w:t xml:space="preserve">надзора за деятельностью </w:t>
      </w:r>
      <w:r>
        <w:rPr>
          <w:b/>
          <w:color w:val="000000"/>
        </w:rPr>
        <w:t xml:space="preserve">саморегулируемых организаций оценщиков</w:t>
      </w:r>
      <w:r>
        <w:rPr>
          <w:b/>
          <w:color w:val="000000"/>
        </w:rPr>
        <w:t xml:space="preserve"> и</w:t>
      </w:r>
      <w:r>
        <w:rPr>
          <w:b/>
          <w:color w:val="000000"/>
        </w:rPr>
        <w:t xml:space="preserve"> саморегулируемых организаций кадастровых инженеров.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70"/>
        <w:ind w:firstLine="709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70"/>
        <w:spacing w:after="0"/>
      </w:pPr>
      <w:r>
        <w:tab/>
      </w:r>
      <w:r>
        <w:t xml:space="preserve">В соо</w:t>
      </w:r>
      <w:r>
        <w:t xml:space="preserve">тветствии с пунктом 1 Положения об Управлении Федеральной службы государственной регистрации, кадастра и картографии по Свердловской области, утвержденного приказом Федеральной службы государственной регистрации, кадастра и картографии </w:t>
      </w:r>
      <w:r>
        <w:rPr>
          <w:highlight w:val="none"/>
        </w:rPr>
        <w:t xml:space="preserve">от 6 апреля 2023 г. </w:t>
      </w:r>
      <w:r>
        <w:rPr>
          <w:highlight w:val="none"/>
        </w:rPr>
        <w:t xml:space="preserve">   </w:t>
      </w:r>
      <w:r>
        <w:rPr>
          <w:highlight w:val="none"/>
        </w:rPr>
        <w:t xml:space="preserve">№ П/0117</w:t>
      </w:r>
      <w:r>
        <w:rPr>
          <w:highlight w:val="none"/>
        </w:rPr>
        <w:t xml:space="preserve">,</w:t>
      </w:r>
      <w:r>
        <w:t xml:space="preserve"> </w:t>
      </w:r>
      <w:r>
        <w:t xml:space="preserve">Управление осуществляет федеральный государственный надзор за деятельностью саморегулируемых организаций оценщиков, </w:t>
      </w:r>
      <w:r>
        <w:t xml:space="preserve">кадастровых инженеров, операторов электронных площадок</w:t>
      </w:r>
      <w:r>
        <w:t xml:space="preserve">, федеральный государственный контроль (надзор) за деятельностью саморегулируемых организаций арбитражных управляющих, а также осуществляет проведение внеплановых и плановых проверок деятельности саморегулируемых организаций на подведомственной территории.</w:t>
      </w:r>
      <w:r/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t xml:space="preserve">В 2025 году в рамках реализации полномочий по надзору за деятельностью саморегулируемых организаций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должностными лицами Управле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 принято участие в 3 плановых проверках саморегулируемых организаций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Ассоциации саморегулируемой организацией «Свободный Оценочный Департамент»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(г. Ека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теринбург),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Союза «Уральская саморегулируемая организация арбитражных управляющих»</w:t>
      </w:r>
      <w:r>
        <w:rPr>
          <w:rStyle w:val="987"/>
          <w:rFonts w:ascii="Times New Roman" w:hAnsi="Times New Roman" w:eastAsia="Times New Roman" w:cs="Times New Roman"/>
          <w:sz w:val="28"/>
          <w:szCs w:val="28"/>
          <w:highlight w:val="none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(г.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Екатеринбург)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Ассоциации арбитражных управляющих «Солидарность»</w:t>
      </w:r>
      <w:r>
        <w:rPr>
          <w:rStyle w:val="987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3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(г. Нефтеюганск).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итогам плановой проверки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Союза «Уральская саморегулируемая организация арбитражных управляющих»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были выявлены: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арушение периодичности проведения Общих собраний членов Союза «УрСО АУ», установленного пунктом 3 статьи 21.1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Федерального закона о банкротстве</w:t>
      </w:r>
      <w:r>
        <w:rPr>
          <w:rStyle w:val="987"/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footnoteReference w:id="4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в связи с чем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должностным лицом Управления был составлен протокол об административных правонарушениях, предусмотренном ч. 1 ст. 14.52.1 КоАП РФ</w:t>
      </w:r>
      <w:r>
        <w:rPr>
          <w:rStyle w:val="987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footnoteReference w:id="5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 нарушение установленных порядка, срока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периодичности созыва общего собрания членов саморегулируемой организации арбитражных управляющих.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Саморегулируемая организация была освобождена от административной ответственности, в связи с малозначительностью совершенного правонарушения;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требований пункта 10 статьи 24.1 Федерального закона о банкротстве, а именно Союзом «УрСО АУ» в проверяемом периоде не обеспечен надлежащий контроль за своевременным заключением некоторыми членами Союза договор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 обязательного страхования их ответственности.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пункта 6 статьи 25.1 Федерального закона о банкротстве, а именно в течение шестидесяти календарных дней с даты получения соответствующего требования некоторым заявителям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обратившимся с требованием о компенсационной выплате, компенсационная выплата не осуществлена, мотивированный отказ в выплате не направлен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Arial" w:hAnsi="Arial" w:eastAsia="Arial" w:cs="Arial"/>
          <w:color w:val="999999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 абзаца второго пункта 17 Федерального стандарта № 799, а именно не исполнена обязанность по выдаче свидетельств о прохождении стажировки в качестве помощника арбитражного управляющего некоторым лицам, проходившим стажировку у арбитражног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управляющего.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пункта 2 статьи 20.5 Федерального закона о банкротстве  в части  непринятия решения об освобождении арбитражного управляющего, в связи с выявлением обстоятельств, препятствующих утверждению арбитражного управляющего в деле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банкротстве.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Кроме того,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должностным лицо было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роведено 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мероприятие по контролю без взаимодействия с Союзом «Уральская саморегулируемая организация арбитражных управляющих» на предмет соблюдения саморегулируемой организацией обязательных требований при размещении информации в информационно-телекоммуникационн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ой сети «Интернет», нарушений выявлено не было.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ff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Союзу «Уральская саморегулируемая организация арбитражных управляющих»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объявлено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предостережение о недопустимости нарушения обязательных требований, установленных пунктом 11 статьи 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Федерального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Закона о банкротстве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В настоящее время срок на принятие мер во исполнение предостережения не истек. </w:t>
      </w:r>
      <w:r>
        <w:rPr>
          <w:rFonts w:ascii="Times New Roman" w:hAnsi="Times New Roman" w:eastAsia="Times New Roman" w:cs="Times New Roman"/>
          <w:color w:val="ff0000" w:themeColor="text1"/>
          <w:highlight w:val="none"/>
        </w:rPr>
      </w:r>
      <w:r>
        <w:rPr>
          <w:rFonts w:ascii="Times New Roman" w:hAnsi="Times New Roman" w:eastAsia="Times New Roman" w:cs="Times New Roman"/>
          <w:color w:val="ff0000" w:themeColor="text1"/>
          <w:highlight w:val="non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ходе плановой проверки в отношении Ассоциации саморегулируемой организацией «Свободный Оценочный Департамент» были выявлены нарушения в том 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сле: по включению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состав Отдела по контролю за оценочной деятельностью и ведению реестра лиц, не подтвердивших сдачу квалификационного экзамена;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еустановление внутренними документами срока рассмотрения Дисциплинарным комитетом Дел о применении мер, в случае рассмотрения таких Дел по результатам плановых и внеплановых проверок, инициированных Отделом по контролю за оценочной деятельностью и ведению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реестра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еприменение мер дисциплинарного воздействия в отношении оценщиков.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ходе плановой проверки в отношении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Ассоциации арбитражных управляющих «Солидарность»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выявлены, в том числе нарушения: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срока, установленного абзацем вторым пункта 3 статьи 22.1 Федерального закона о банкротстве  направления информ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ации об изменении места нахождения Ассоциации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орган по контролю (надзору); 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срока, установленного пунктом 7 статьи 20 Федерального закона о банкротстве, рассмотрения заявления о вступлении в члены Ассоциации некоторых членов.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нарушение требований пункта 3 и 10 статьи 20 Федерального закона о банкротстве, в части принятия  в члены Ассоциации, лица несоответствующего условиям членства в саморегулируемой организации;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требований пункта 3 статьи 22.1 Федерального закона о банкротстве, в части непредоставления в орган по контролю (надзору) информации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принятых в члены Асс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оциации, а также о лице, прекратившем членство в саморегулируемой организации.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рушение требования, установленного частью 9 статьи 10 Федерального закона от 01.12.2007 № 315-ФЗ «О саморегулируемых организациях»</w:t>
      </w:r>
      <w:r>
        <w:rPr>
          <w:rStyle w:val="987"/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footnoteReference w:id="6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части неперечисления денежных средств, полученных Ассоциацией от арбитражных управляющих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результате наложения на них штрафов в компенсационный фонд Ассоциации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части 5 статьи 13 Федерального закона о СРО, пункта 14 статьи 25.1 Федерального закона о банкротстве в части размещения в компенсационном фонде Ассоциации денежных средств не осуществлено через управляющую компанию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  <w:highlight w:val="none"/>
        </w:rPr>
      </w:r>
    </w:p>
    <w:p>
      <w:pPr>
        <w:pStyle w:val="807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пункта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статьи 25.1 Федерального закона о банкротстве, а именно, Ассоциацией осуществлено расходование компенсационного фонда саморегулируемой организации арбитражных управляющих в части,  на цели, не предусмотренные статьей 25.1 Федерального закона о банкротстве;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r>
    </w:p>
    <w:p>
      <w:pPr>
        <w:pStyle w:val="807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подпункта «б» пункта 2 части 3 и части 5 статьи 7.1 Федерального закона о СРО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части невключения сведений о дате и месте рождения членов Ассоциации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Реестр членов Ассоциации, размещенного на официальном сайте саморегулируемой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07"/>
        <w:rPr>
          <w:rFonts w:ascii="Times New Roman" w:hAnsi="Times New Roman" w:cs="Times New Roman"/>
          <w:color w:val="ff0000" w:themeColor="text1"/>
          <w:spacing w:val="-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нарушение пункта 1 статьи 45 Федерального закона о банкротстве, а именно  ААУ «Солидарность»  в дела о несостоятельности (банкротстве) должников представлена кандидатура арбитражного управляющего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несоответствующая статье 20 Федерального закона о банкротстве, в связи с отсутствием договора обязательного страхования ответственности арбитражного управляющего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 т.д.</w:t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</w:rPr>
      </w:r>
      <w:r>
        <w:rPr>
          <w:rFonts w:ascii="Times New Roman" w:hAnsi="Times New Roman" w:cs="Times New Roman"/>
          <w:color w:val="ff0000" w:themeColor="text1"/>
          <w:spacing w:val="-1"/>
          <w:sz w:val="26"/>
          <w:szCs w:val="26"/>
        </w:rPr>
      </w:r>
    </w:p>
    <w:p>
      <w:pPr>
        <w:pStyle w:val="807"/>
        <w:ind w:firstLine="7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этой связи, по итогам плановых проверок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аморегулируемых организаций были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установленный 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 поступили уведомления о мерах, принятых в целях исполнения указанных предписаний.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0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Ежемесячно Управлением с кадастровыми инженерами проводятся онлайн вебинары по вопросам возникающим при осуществлении учетно-регистрационных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действий, а также рассматриваются основные причины приостановок и ошибки при подготовке технических межевых планов.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7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изложенным, Управление считает необходимым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вновь напомнить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саморегулируемым организациям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необходимости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усилить контроль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неукоснительным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соблюдением норм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своими членами,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целью недопустимости нарушения обязательных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своей деятельности.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b/>
          <w:color w:val="000000"/>
          <w:sz w:val="32"/>
          <w:szCs w:val="32"/>
        </w:rPr>
      </w:r>
    </w:p>
    <w:p>
      <w:pPr>
        <w:jc w:val="center"/>
        <w:spacing w:line="360" w:lineRule="auto"/>
        <w:rPr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b/>
          <w:color w:val="000000"/>
          <w:sz w:val="32"/>
          <w:szCs w:val="32"/>
        </w:rPr>
        <w:t xml:space="preserve">Д О К Л А Д</w:t>
      </w:r>
      <w:r>
        <w:rPr>
          <w:b/>
          <w:color w:val="000000"/>
          <w:sz w:val="32"/>
          <w:szCs w:val="32"/>
        </w:rPr>
      </w:r>
      <w:r/>
    </w:p>
    <w:p>
      <w:pPr>
        <w:pStyle w:val="970"/>
        <w:jc w:val="center"/>
        <w:spacing w:after="0"/>
        <w:rPr>
          <w:b/>
          <w:color w:val="000000"/>
          <w:sz w:val="32"/>
          <w:szCs w:val="32"/>
        </w:rPr>
      </w:pPr>
      <w:r>
        <w:t xml:space="preserve">«Правоприменительная практика Управления Росреестра по Свердловской области  в сфере привлечения арбитражных управляющих к административной ответственности»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Style w:val="970"/>
        <w:jc w:val="center"/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ind w:firstLine="709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Т</w:t>
      </w:r>
      <w:r>
        <w:rPr>
          <w:shd w:val="clear" w:color="auto" w:fill="ffffff"/>
        </w:rPr>
        <w:t xml:space="preserve">ерриториальным органам </w:t>
      </w:r>
      <w:r>
        <w:rPr>
          <w:shd w:val="clear" w:color="auto" w:fill="ffffff"/>
        </w:rPr>
        <w:t xml:space="preserve">Росреестра в соответствии с п. 10 ч. 2         ст. 28.3 </w:t>
      </w:r>
      <w:r>
        <w:rPr>
          <w:shd w:val="clear" w:color="auto" w:fill="ffffff"/>
        </w:rPr>
        <w:t xml:space="preserve"> КоАП РФ</w:t>
      </w:r>
      <w:r>
        <w:rPr>
          <w:shd w:val="clear" w:color="auto" w:fill="ffffff"/>
        </w:rPr>
        <w:t xml:space="preserve"> </w:t>
      </w:r>
      <w:r>
        <w:rPr>
          <w:rStyle w:val="987"/>
          <w:shd w:val="clear" w:color="auto" w:fill="ffffff"/>
        </w:rPr>
        <w:footnoteReference w:id="7"/>
      </w:r>
      <w:r>
        <w:rPr>
          <w:shd w:val="clear" w:color="auto" w:fill="ffffff"/>
        </w:rPr>
        <w:t xml:space="preserve">предоставлены полномочия по возбуждению в отношении арбитражных управляющих дел об административных правонарушениях, предусмотренных ч.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3, ч. 3.1 ст. 14.13 КоАП РФ, в связи с неисполнением обязанностей, установленных законодательством о несостоятельности (банкротстве), если такое действие (бе</w:t>
      </w:r>
      <w:r>
        <w:rPr>
          <w:shd w:val="clear" w:color="auto" w:fill="ffffff"/>
        </w:rPr>
        <w:t xml:space="preserve">здействие) не содержит уголовно-</w:t>
      </w:r>
      <w:r>
        <w:rPr>
          <w:shd w:val="clear" w:color="auto" w:fill="ffffff"/>
        </w:rPr>
        <w:t xml:space="preserve">наказуемого деяния.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9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В рамках реализации указанных полномочий должностными лицами Управления за 9 месяцев 202</w:t>
      </w:r>
      <w:r>
        <w:rPr>
          <w:shd w:val="clear" w:color="auto" w:fill="ffffff"/>
        </w:rPr>
        <w:t xml:space="preserve">5 года по результатам рассмотрения поступ</w:t>
      </w:r>
      <w:r>
        <w:rPr>
          <w:shd w:val="clear" w:color="auto" w:fill="ffffff"/>
        </w:rPr>
        <w:t xml:space="preserve">ивших</w:t>
      </w:r>
      <w:r>
        <w:rPr>
          <w:shd w:val="clear" w:color="auto" w:fill="ffffff"/>
        </w:rPr>
        <w:t xml:space="preserve"> обращений </w:t>
      </w:r>
      <w:r>
        <w:rPr>
          <w:shd w:val="clear" w:color="auto" w:fill="ffffff"/>
        </w:rPr>
        <w:t xml:space="preserve">и </w:t>
      </w:r>
      <w:r>
        <w:rPr>
          <w:color w:val="000000" w:themeColor="text1"/>
          <w:shd w:val="clear" w:color="auto" w:fill="ffffff"/>
        </w:rPr>
        <w:t xml:space="preserve">материалов </w:t>
      </w:r>
      <w:r>
        <w:rPr>
          <w:color w:val="000000" w:themeColor="text1"/>
          <w:shd w:val="clear" w:color="auto" w:fill="ffffff"/>
        </w:rPr>
        <w:t xml:space="preserve">возбуждено </w:t>
      </w:r>
      <w:r>
        <w:rPr>
          <w:color w:val="000000" w:themeColor="text1"/>
          <w:shd w:val="clear" w:color="auto" w:fill="ffffff"/>
        </w:rPr>
        <w:t xml:space="preserve">17</w:t>
      </w:r>
      <w:r>
        <w:rPr>
          <w:color w:val="000000" w:themeColor="text1"/>
          <w:shd w:val="clear" w:color="auto" w:fill="ffffff"/>
        </w:rPr>
        <w:t xml:space="preserve">1</w:t>
      </w:r>
      <w:r>
        <w:rPr>
          <w:shd w:val="clear" w:color="auto" w:fill="ffffff"/>
        </w:rPr>
        <w:t xml:space="preserve"> дело об административных правонарушениях</w:t>
      </w:r>
      <w:r>
        <w:rPr>
          <w:shd w:val="clear" w:color="auto" w:fill="ffffff"/>
        </w:rPr>
        <w:t xml:space="preserve"> по ч. 3, ч. 3.1 ст. 14.13 КоАП РФ</w:t>
      </w:r>
      <w:r>
        <w:rPr>
          <w:shd w:val="clear" w:color="auto" w:fill="ffffff"/>
        </w:rPr>
        <w:t xml:space="preserve">.        </w:t>
        <w:tab/>
        <w:t xml:space="preserve">По результатам административн</w:t>
      </w:r>
      <w:r>
        <w:rPr>
          <w:shd w:val="clear" w:color="auto" w:fill="ffffff"/>
        </w:rPr>
        <w:t xml:space="preserve">ых</w:t>
      </w:r>
      <w:r>
        <w:rPr>
          <w:shd w:val="clear" w:color="auto" w:fill="ffffff"/>
        </w:rPr>
        <w:t xml:space="preserve"> расследовани</w:t>
      </w:r>
      <w:r>
        <w:rPr>
          <w:shd w:val="clear" w:color="auto" w:fill="ffffff"/>
        </w:rPr>
        <w:t xml:space="preserve">й по данным делам </w:t>
      </w:r>
      <w:r>
        <w:rPr>
          <w:shd w:val="clear" w:color="auto" w:fill="ffffff"/>
        </w:rPr>
        <w:t xml:space="preserve">вынесено </w:t>
      </w:r>
      <w:r>
        <w:rPr>
          <w:shd w:val="clear" w:color="auto" w:fill="ffffff"/>
        </w:rPr>
        <w:t xml:space="preserve">57 постановлени</w:t>
      </w:r>
      <w:r>
        <w:rPr>
          <w:shd w:val="clear" w:color="auto" w:fill="ffffff"/>
        </w:rPr>
        <w:t xml:space="preserve">й о прекращении производства по делу об административном правонарушении, составлен </w:t>
      </w:r>
      <w:r>
        <w:rPr>
          <w:color w:val="000000" w:themeColor="text1"/>
          <w:shd w:val="clear" w:color="auto" w:fill="ffffff"/>
        </w:rPr>
        <w:t xml:space="preserve">1</w:t>
      </w:r>
      <w:r>
        <w:rPr>
          <w:color w:val="000000" w:themeColor="text1"/>
          <w:shd w:val="clear" w:color="auto" w:fill="ffffff"/>
        </w:rPr>
        <w:t xml:space="preserve">31 </w:t>
      </w:r>
      <w:r>
        <w:rPr>
          <w:shd w:val="clear" w:color="auto" w:fill="ffffff"/>
        </w:rPr>
        <w:t xml:space="preserve">протокол</w:t>
      </w:r>
      <w:r>
        <w:rPr>
          <w:shd w:val="clear" w:color="auto" w:fill="ffffff"/>
        </w:rPr>
        <w:t xml:space="preserve"> об административных правонарушениях</w:t>
      </w:r>
      <w:r>
        <w:rPr>
          <w:shd w:val="clear" w:color="auto" w:fill="ffffff"/>
        </w:rPr>
        <w:t xml:space="preserve">, материалы направлены в арбитражный суд для рассмотрения.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9"/>
        <w:spacing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По результатам рассмотрения заявлений Управления арбитражным судом </w:t>
      </w:r>
      <w:r>
        <w:rPr>
          <w:color w:val="auto"/>
          <w:shd w:val="clear" w:color="auto" w:fill="ffffff"/>
        </w:rPr>
        <w:t xml:space="preserve">22 </w:t>
      </w:r>
      <w:r>
        <w:rPr>
          <w:shd w:val="clear" w:color="auto" w:fill="ffffff"/>
        </w:rPr>
        <w:t xml:space="preserve">арбитражн</w:t>
      </w:r>
      <w:r>
        <w:rPr>
          <w:shd w:val="clear" w:color="auto" w:fill="ffffff"/>
        </w:rPr>
        <w:t xml:space="preserve">ым </w:t>
      </w:r>
      <w:r>
        <w:rPr>
          <w:shd w:val="clear" w:color="auto" w:fill="ffffff"/>
        </w:rPr>
        <w:t xml:space="preserve">управляющи</w:t>
      </w:r>
      <w:r>
        <w:rPr>
          <w:shd w:val="clear" w:color="auto" w:fill="ffffff"/>
        </w:rPr>
        <w:t xml:space="preserve">м</w:t>
      </w:r>
      <w:r>
        <w:rPr>
          <w:shd w:val="clear" w:color="auto" w:fill="ffffff"/>
        </w:rPr>
        <w:t xml:space="preserve"> назначено наказание в виде дисквалификации на срок 6 месяцев (за аналогичный период 2024 - 4)</w:t>
      </w:r>
      <w:r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в том числе</w:t>
      </w:r>
      <w:r>
        <w:rPr>
          <w:shd w:val="clear" w:color="auto" w:fill="ffffff"/>
        </w:rPr>
        <w:t xml:space="preserve">:</w:t>
      </w:r>
      <w:r>
        <w:rPr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</w:r>
      <w:r>
        <w:rPr>
          <w:color w:val="ff0000"/>
          <w:shd w:val="clear" w:color="auto" w:fill="ffffff"/>
        </w:rPr>
      </w:r>
    </w:p>
    <w:p>
      <w:pPr>
        <w:ind w:firstLine="709"/>
        <w:spacing w:after="0"/>
        <w:rPr>
          <w:color w:val="000000" w:themeColor="text1"/>
        </w:rPr>
      </w:pPr>
      <w:r>
        <w:rPr>
          <w:color w:val="000000" w:themeColor="text1"/>
          <w:highlight w:val="none"/>
        </w:rPr>
        <w:t xml:space="preserve">- за </w:t>
      </w:r>
      <w:r>
        <w:rPr>
          <w:color w:val="000000" w:themeColor="text1"/>
        </w:rPr>
        <w:t xml:space="preserve">ненадлежащее  осуществление организации проведения собраний кредиторов должника;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after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  <w:t xml:space="preserve">- за ненадлежащее  проведение инвентаризации имущества должника.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spacing w:after="0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- представление собранию кредиторов предложения о порядке продажи имущества должника, содержащего не все сведения, предусмотренные Законом о банкротстве;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spacing w:after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за </w:t>
      </w:r>
      <w:r>
        <w:rPr>
          <w:color w:val="000000" w:themeColor="text1"/>
        </w:rPr>
        <w:t xml:space="preserve">ненадлежащее исполнение обязанности по указанию в сообщении, опубликованном в газете «Коммерсантъ», всех предусмотренных сведений.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spacing w:after="0"/>
      </w:pPr>
      <w:r>
        <w:rPr>
          <w:color w:val="000000" w:themeColor="text1"/>
          <w:highlight w:val="none"/>
        </w:rPr>
        <w:t xml:space="preserve">за </w:t>
      </w:r>
      <w:r>
        <w:rPr>
          <w:color w:val="000000" w:themeColor="text1"/>
        </w:rPr>
        <w:t xml:space="preserve">не</w:t>
      </w:r>
      <w:r>
        <w:t xml:space="preserve">надлежащее  исполнение обязанности по ведению реестра требований кредиторов должника;</w:t>
      </w:r>
      <w:r/>
      <w:r/>
    </w:p>
    <w:p>
      <w:pPr>
        <w:ind w:firstLine="709"/>
        <w:spacing w:after="0"/>
        <w:rPr>
          <w:color w:val="ff0000" w:themeColor="text1"/>
          <w:highlight w:val="none"/>
        </w:rPr>
      </w:pP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за н</w:t>
      </w:r>
      <w:r>
        <w:rPr>
          <w:color w:val="000000" w:themeColor="text1"/>
        </w:rPr>
        <w:t xml:space="preserve">енадлежащее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исполн</w:t>
      </w:r>
      <w:r>
        <w:rPr>
          <w:color w:val="000000" w:themeColor="text1"/>
        </w:rPr>
        <w:t xml:space="preserve">ени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 обязанност</w:t>
      </w:r>
      <w:r>
        <w:rPr>
          <w:color w:val="000000" w:themeColor="text1"/>
        </w:rPr>
        <w:t xml:space="preserve">и</w:t>
      </w:r>
      <w:r>
        <w:rPr>
          <w:color w:val="000000" w:themeColor="text1"/>
        </w:rPr>
        <w:t xml:space="preserve"> по принятию мер по выявлению, сохранности,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возврату в конкурсную массу имущества должника</w:t>
      </w:r>
      <w:r>
        <w:rPr>
          <w:color w:val="000000" w:themeColor="text1"/>
        </w:rPr>
        <w:t xml:space="preserve">,</w:t>
      </w:r>
      <w:r>
        <w:rPr>
          <w:color w:val="ff0000" w:themeColor="text1"/>
          <w:highlight w:val="none"/>
        </w:rPr>
      </w:r>
      <w:r>
        <w:rPr>
          <w:color w:val="ff0000" w:themeColor="text1"/>
          <w:highlight w:val="none"/>
        </w:rPr>
      </w:r>
    </w:p>
    <w:p>
      <w:pPr>
        <w:ind w:firstLine="709"/>
        <w:spacing w:after="0"/>
        <w:rPr>
          <w:color w:val="ff0000" w:themeColor="text1"/>
          <w:shd w:val="clear" w:color="auto" w:fill="ffffff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неоткры</w:t>
      </w:r>
      <w:r>
        <w:rPr>
          <w:color w:val="000000" w:themeColor="text1"/>
        </w:rPr>
        <w:t xml:space="preserve">тие </w:t>
      </w:r>
      <w:r>
        <w:rPr>
          <w:color w:val="000000" w:themeColor="text1"/>
        </w:rPr>
        <w:t xml:space="preserve">специальн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банковск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счет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должника (залогов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) и прин</w:t>
      </w:r>
      <w:r>
        <w:rPr>
          <w:color w:val="000000" w:themeColor="text1"/>
        </w:rPr>
        <w:t xml:space="preserve">ятия</w:t>
      </w:r>
      <w:r>
        <w:rPr>
          <w:color w:val="000000" w:themeColor="text1"/>
        </w:rPr>
        <w:t xml:space="preserve"> денежны</w:t>
      </w:r>
      <w:r>
        <w:rPr>
          <w:color w:val="000000" w:themeColor="text1"/>
        </w:rPr>
        <w:t xml:space="preserve">х </w:t>
      </w:r>
      <w:r>
        <w:rPr>
          <w:color w:val="000000" w:themeColor="text1"/>
        </w:rPr>
        <w:t xml:space="preserve">средств по договору купли-продажи на личный счет.</w:t>
      </w:r>
      <w:r>
        <w:rPr>
          <w:color w:val="ff0000" w:themeColor="text1"/>
          <w:shd w:val="clear" w:color="auto" w:fill="ffffff"/>
        </w:rPr>
      </w:r>
      <w:r>
        <w:rPr>
          <w:color w:val="ff0000" w:themeColor="text1"/>
          <w:shd w:val="clear" w:color="auto" w:fill="ffffff"/>
        </w:rPr>
      </w:r>
    </w:p>
    <w:p>
      <w:pPr>
        <w:ind w:firstLine="709"/>
        <w:spacing w:after="0"/>
        <w:rPr>
          <w:color w:val="ff0000" w:themeColor="text1"/>
          <w:shd w:val="clear" w:color="auto" w:fill="ffffff"/>
        </w:rPr>
      </w:pPr>
      <w:r>
        <w:rPr>
          <w:color w:val="000000" w:themeColor="text1"/>
        </w:rPr>
        <w:t xml:space="preserve">- н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принятию </w:t>
      </w:r>
      <w:r>
        <w:rPr>
          <w:color w:val="000000" w:themeColor="text1"/>
        </w:rPr>
        <w:t xml:space="preserve"> мер по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погашению задолженности перед залоговым кредитором</w:t>
      </w:r>
      <w:r>
        <w:rPr>
          <w:color w:val="ff0000" w:themeColor="text1"/>
          <w:shd w:val="clear" w:color="auto" w:fill="ffffff"/>
        </w:rPr>
      </w:r>
      <w:r>
        <w:rPr>
          <w:color w:val="ff0000" w:themeColor="text1"/>
          <w:shd w:val="clear" w:color="auto" w:fill="ffffff"/>
        </w:rPr>
      </w:r>
    </w:p>
    <w:p>
      <w:pPr>
        <w:ind w:firstLine="709"/>
        <w:spacing w:after="0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не исполн</w:t>
      </w:r>
      <w:r>
        <w:rPr>
          <w:color w:val="000000" w:themeColor="text1"/>
        </w:rPr>
        <w:t xml:space="preserve">ению</w:t>
      </w:r>
      <w:r>
        <w:rPr>
          <w:color w:val="000000" w:themeColor="text1"/>
        </w:rPr>
        <w:t xml:space="preserve"> обязанност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по представлению в арбитражный суд отчета о своей деятельности в срок,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установленный Законом о банкротстве.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spacing w:after="0"/>
        <w:rPr>
          <w:highlight w:val="none"/>
        </w:rPr>
      </w:pPr>
      <w:r>
        <w:rPr>
          <w:color w:val="000000" w:themeColor="text1"/>
          <w:highlight w:val="none"/>
        </w:rPr>
        <w:t xml:space="preserve">за представлен</w:t>
      </w:r>
      <w:r>
        <w:rPr>
          <w:color w:val="000000" w:themeColor="text1"/>
          <w:highlight w:val="none"/>
        </w:rPr>
        <w:t xml:space="preserve">ие </w:t>
      </w:r>
      <w:r>
        <w:t xml:space="preserve">отчетов конкурсного управляющего  об использовании денежных средств должника которые не содержат всех сведений, установленных законодательством о несостоятельности (банкротстве). </w:t>
      </w:r>
      <w:r>
        <w:rPr>
          <w:highlight w:val="none"/>
        </w:rPr>
      </w:r>
      <w:r>
        <w:rPr>
          <w:highlight w:val="none"/>
        </w:rPr>
      </w:r>
    </w:p>
    <w:p>
      <w:pPr>
        <w:pStyle w:val="807"/>
        <w:rPr>
          <w:shd w:val="clear" w:color="auto" w:fill="ffffff"/>
        </w:rPr>
      </w:pPr>
      <w:r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 xml:space="preserve">Кроме того, </w:t>
      </w:r>
      <w:r>
        <w:rPr>
          <w:shd w:val="clear" w:color="auto" w:fill="ffffff"/>
        </w:rPr>
        <w:t xml:space="preserve">вынесено </w:t>
      </w:r>
      <w:r>
        <w:rPr>
          <w:shd w:val="clear" w:color="auto" w:fill="ffffff"/>
        </w:rPr>
        <w:t xml:space="preserve">33 решени</w:t>
      </w:r>
      <w:r>
        <w:rPr>
          <w:shd w:val="clear" w:color="auto" w:fill="ffffff"/>
        </w:rPr>
        <w:t xml:space="preserve">я о назначении административного наказания в виде предупреждения (за аналогичный период 2024 - 25),            </w:t>
      </w:r>
      <w:r>
        <w:rPr>
          <w:shd w:val="clear" w:color="auto" w:fill="ffffff"/>
        </w:rPr>
        <w:t xml:space="preserve">12 решени</w:t>
      </w:r>
      <w:r>
        <w:rPr>
          <w:shd w:val="clear" w:color="auto" w:fill="ffffff"/>
        </w:rPr>
        <w:t xml:space="preserve">й</w:t>
      </w:r>
      <w:r>
        <w:rPr>
          <w:shd w:val="clear" w:color="auto" w:fill="ffffff"/>
        </w:rPr>
        <w:t xml:space="preserve"> о наложении </w:t>
      </w:r>
      <w:r>
        <w:rPr>
          <w:shd w:val="clear" w:color="auto" w:fill="ffffff"/>
        </w:rPr>
        <w:t xml:space="preserve">административных </w:t>
      </w:r>
      <w:r>
        <w:rPr>
          <w:shd w:val="clear" w:color="auto" w:fill="ffffff"/>
        </w:rPr>
        <w:t xml:space="preserve">штрафов на сумму 287 000 рублей ( 2024- 9 на сумму 255 000 руб.), по </w:t>
      </w:r>
      <w:r>
        <w:rPr>
          <w:shd w:val="clear" w:color="auto" w:fill="ffffff"/>
        </w:rPr>
        <w:t xml:space="preserve">40</w:t>
      </w:r>
      <w:r>
        <w:rPr>
          <w:shd w:val="clear" w:color="auto" w:fill="ffffff"/>
        </w:rPr>
        <w:t xml:space="preserve"> делам об административных правонарушениях </w:t>
      </w:r>
      <w:r>
        <w:rPr>
          <w:shd w:val="clear" w:color="auto" w:fill="ffffff"/>
        </w:rPr>
        <w:t xml:space="preserve">арбитражные управляющие освобождены от административной ответственности</w:t>
      </w:r>
      <w:r>
        <w:rPr>
          <w:shd w:val="clear" w:color="auto" w:fill="ffffff"/>
        </w:rPr>
        <w:t xml:space="preserve">,</w:t>
      </w:r>
      <w:r>
        <w:rPr>
          <w:shd w:val="clear" w:color="auto" w:fill="ffffff"/>
        </w:rPr>
        <w:t xml:space="preserve"> в связи с малозначительностью деяния и вынесением устного замечания (2024 - 94).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807"/>
        <w:ind w:firstLine="72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</w:t>
      </w:r>
      <w:r>
        <w:rPr>
          <w:color w:val="000000" w:themeColor="text1"/>
          <w:sz w:val="28"/>
          <w:szCs w:val="28"/>
        </w:rPr>
        <w:t xml:space="preserve">образом имеется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тенд</w:t>
      </w:r>
      <w:r>
        <w:rPr>
          <w:sz w:val="28"/>
          <w:szCs w:val="28"/>
        </w:rPr>
        <w:t xml:space="preserve">енция на уменьшение применения А</w:t>
      </w:r>
      <w:r>
        <w:rPr>
          <w:sz w:val="28"/>
          <w:szCs w:val="28"/>
        </w:rPr>
        <w:t xml:space="preserve">рбитражным судом Свердловской области малозначительности деяния в 2025 году по сравнению с 2024 годом.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8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Кроме того, в силу п.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 ст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22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Закона о банкротстве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саморегулируемая организ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ация арбитражных управляющих</w:t>
      </w:r>
      <w:r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обязана контролировать профессиональную деятельность членов СРО в части соблюдения требований Закона о банкротстве, других федеральных законов, иных нормативных правовых актов Российской Федерации, федеральных ст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андартов, стандартов и правил профессиональной деятельности, в том числе посредством проведения проверки в порядке и с периодичностью, которые установлены федеральными стандартами, а также применять меры дисциплинарного воздействия, предусмотренные Законом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банкротстве и внутренними документами СРО, в отношении своих членов.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970"/>
        <w:ind w:firstLine="708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соответствии с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3.1 Федерального стандарта деятельности 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утвержденного приказом Минэкономразвития России от 14.04.2025 № 235</w:t>
      </w:r>
      <w:r>
        <w:rPr>
          <w:rStyle w:val="1_488"/>
          <w:rFonts w:ascii="Times New Roman" w:hAnsi="Times New Roman"/>
          <w:bCs/>
          <w:color w:val="000000" w:themeColor="text1"/>
          <w:sz w:val="28"/>
          <w:szCs w:val="28"/>
        </w:rPr>
        <w:footnoteReference w:id="9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основанием для проведения внеплановой проверки профессиональной деятельности арбитражного управляющего является поступившая в адрес СРО жалоба (обращение) федерального органа государственной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власти, в которой указаны факты нарушения арбитражным управляющим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Style w:val="970"/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Учитывая возложенные 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саморегулируемую организацию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полномочия по осуществлению контроля за соблюдением арбитражными управляющими Закона о банкротстве, других федеральных законов, иных нормативных правовых актов Российской Федерации, федеральных стандартов, стандартов и правил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профессиональной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деятельности,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применению мер дисциплинарного воздействия. 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этой связи вступившие в законную силу судебные акты Арбитражного суда Свердловской области, где суд ограничился устным замечанием, направляются в саморегулируемые организации арбитражных управляющих для принятия решения о  проведении внеплановой проверки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принятия мер реагирования.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spacing w:after="0"/>
        <w:rPr>
          <w:highlight w:val="none"/>
          <w:shd w:val="clear" w:color="auto" w:fill="ffffff"/>
        </w:rPr>
      </w:pPr>
      <w:r>
        <w:rPr>
          <w:shd w:val="clear" w:color="auto" w:fill="ffffff"/>
        </w:rPr>
        <w:t xml:space="preserve">В ходе проведения административных расследований в деятельности арбитражных управляющих </w:t>
      </w:r>
      <w:r>
        <w:rPr>
          <w:shd w:val="clear" w:color="auto" w:fill="ffffff"/>
        </w:rPr>
        <w:t xml:space="preserve">достаточно часто </w:t>
      </w:r>
      <w:r>
        <w:rPr>
          <w:shd w:val="clear" w:color="auto" w:fill="ffffff"/>
        </w:rPr>
        <w:t xml:space="preserve">выявля</w:t>
      </w:r>
      <w:r>
        <w:rPr>
          <w:shd w:val="clear" w:color="auto" w:fill="ffffff"/>
        </w:rPr>
        <w:t xml:space="preserve">е</w:t>
      </w:r>
      <w:r>
        <w:rPr>
          <w:shd w:val="clear" w:color="auto" w:fill="ffffff"/>
        </w:rPr>
        <w:t xml:space="preserve">тся нарушение сроков,         установленных Законом о банкротстве</w:t>
      </w:r>
      <w:r>
        <w:rPr>
          <w:rStyle w:val="987"/>
          <w:shd w:val="clear" w:color="auto" w:fill="ffffff"/>
        </w:rPr>
        <w:footnoteReference w:id="10"/>
      </w:r>
      <w:r>
        <w:t xml:space="preserve">, а именно: по </w:t>
      </w:r>
      <w:r>
        <w:rPr>
          <w:shd w:val="clear" w:color="auto" w:fill="ffffff"/>
        </w:rPr>
        <w:t xml:space="preserve">проведени</w:t>
      </w:r>
      <w:r>
        <w:rPr>
          <w:shd w:val="clear" w:color="auto" w:fill="ffffff"/>
        </w:rPr>
        <w:t xml:space="preserve">ю</w:t>
      </w:r>
      <w:r>
        <w:rPr>
          <w:shd w:val="clear" w:color="auto" w:fill="ffffff"/>
        </w:rPr>
        <w:t xml:space="preserve"> первого собрания кредиторов, опубликовани</w:t>
      </w:r>
      <w:r>
        <w:rPr>
          <w:shd w:val="clear" w:color="auto" w:fill="ffffff"/>
        </w:rPr>
        <w:t xml:space="preserve">ю </w:t>
      </w:r>
      <w:r>
        <w:rPr>
          <w:shd w:val="clear" w:color="auto" w:fill="ffffff"/>
        </w:rPr>
        <w:t xml:space="preserve">сведений о процедуре банкротства, а также  </w:t>
      </w:r>
      <w:r>
        <w:rPr>
          <w:shd w:val="clear" w:color="auto" w:fill="ffffff"/>
        </w:rPr>
        <w:t xml:space="preserve">по </w:t>
      </w:r>
      <w:r>
        <w:rPr>
          <w:shd w:val="clear" w:color="auto" w:fill="ffffff"/>
        </w:rPr>
        <w:t xml:space="preserve">представлени</w:t>
      </w:r>
      <w:r>
        <w:rPr>
          <w:shd w:val="clear" w:color="auto" w:fill="ffffff"/>
        </w:rPr>
        <w:t xml:space="preserve">ю</w:t>
      </w:r>
      <w:r>
        <w:rPr>
          <w:shd w:val="clear" w:color="auto" w:fill="ffffff"/>
        </w:rPr>
        <w:t xml:space="preserve"> отчетов о деятельности арбитражного управляющего суду и кредиторам.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Наряду с вышеперечисленным, арбитражными управляющими нарушаются требования о необходимости опубликования сведений о признании их действий незаконными в рамках процедур банкротства и взыскании убытков, а также сведени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й о наличии (отсутствии) признаков преднамеренного или фиктивного банкротства граждан. Кроме того, не соблюдаются сроки опубликования сообщений о проведении собрания кредиторов и о результатах проведения собрания кредиторов (заседания комитета кредиторов).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достаточно распространенными нарушениями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есоблюдение сроков проведения инвентаризации в ходе процедур конкурсного производства и порядка реализации имущества должников, как юридических лиц, так и физических лиц, непроведение анализа финансового состояния должника, нарушение порядка распределения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денежных средств должника, порядка и периодичности проведения собраний работников, бывших работников должника, несоблюдение порядка ведения реестра требований кредиторов, сроков представления собранию кредиторов положения о реализации имущества должника.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708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Наряду с вышеперечисленным, арбитражными управляющими нарушаются требования</w:t>
      </w:r>
      <w:r>
        <w:rPr>
          <w:shd w:val="clear" w:color="auto" w:fill="ffffff"/>
        </w:rPr>
        <w:t xml:space="preserve"> о необходимости</w:t>
      </w:r>
      <w:r>
        <w:rPr>
          <w:shd w:val="clear" w:color="auto" w:fill="ffffff"/>
        </w:rPr>
        <w:t xml:space="preserve"> опубликовани</w:t>
      </w:r>
      <w:r>
        <w:rPr>
          <w:shd w:val="clear" w:color="auto" w:fill="ffffff"/>
        </w:rPr>
        <w:t xml:space="preserve">я</w:t>
      </w:r>
      <w:r>
        <w:rPr>
          <w:shd w:val="clear" w:color="auto" w:fill="ffffff"/>
        </w:rPr>
        <w:t xml:space="preserve"> сведений о признании </w:t>
      </w:r>
      <w:r>
        <w:rPr>
          <w:shd w:val="clear" w:color="auto" w:fill="ffffff"/>
        </w:rPr>
        <w:t xml:space="preserve">их </w:t>
      </w:r>
      <w:r>
        <w:rPr>
          <w:shd w:val="clear" w:color="auto" w:fill="ffffff"/>
        </w:rPr>
        <w:t xml:space="preserve">действий незаконными в рамках процедур банкротства</w:t>
      </w:r>
      <w:r>
        <w:rPr>
          <w:shd w:val="clear" w:color="auto" w:fill="ffffff"/>
        </w:rPr>
        <w:t xml:space="preserve"> и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взыскании убытков, </w:t>
      </w:r>
      <w:r>
        <w:rPr>
          <w:shd w:val="clear" w:color="auto" w:fill="ffffff"/>
        </w:rPr>
        <w:t xml:space="preserve">а также </w:t>
      </w:r>
      <w:r>
        <w:rPr>
          <w:shd w:val="clear" w:color="auto" w:fill="ffffff"/>
        </w:rPr>
        <w:t xml:space="preserve">сведений о наличии (отсутствии) </w:t>
      </w:r>
      <w:r>
        <w:rPr>
          <w:shd w:val="clear" w:color="auto" w:fill="ffffff"/>
        </w:rPr>
        <w:t xml:space="preserve">признаков преднамеренного или фиктивного банкротства граждан</w:t>
      </w:r>
      <w:r>
        <w:rPr>
          <w:shd w:val="clear" w:color="auto" w:fill="ffffff"/>
        </w:rPr>
        <w:t xml:space="preserve">. Кроме того, не соблюдаются </w:t>
      </w:r>
      <w:r>
        <w:rPr>
          <w:shd w:val="clear" w:color="auto" w:fill="ffffff"/>
        </w:rPr>
        <w:t xml:space="preserve">сроки опубликования сообщений о проведении собрания кредиторов и о результатах проведения собрания кредиторов (заседания комитета кредиторов).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8"/>
        <w:spacing w:after="0"/>
        <w:rPr>
          <w:shd w:val="clear" w:color="auto" w:fill="ffffff"/>
        </w:rPr>
      </w:pPr>
      <w:r>
        <w:t xml:space="preserve">В целях повышения уровня законности в сфере</w:t>
      </w:r>
      <w:r>
        <w:t xml:space="preserve"> несостоятельности (банкротства), в том числе с целью снижения количества типичных нарушений допускаемых арбитражными управляющими при исполнении своих профессиональных обязанностей, сотрудниками Управления, наделенными полномочиями по составлению протокол</w:t>
      </w:r>
      <w:r>
        <w:t xml:space="preserve">ов в отношении арбитражных управляющих систематически осуществляется мониторинг открытых информационных ресурсов, в которых арбитражные управляющие размещают сведения о реализации своей профессиональной деятельности в сфере несостоятельности (банкротства).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8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Р</w:t>
      </w:r>
      <w:r>
        <w:rPr>
          <w:shd w:val="clear" w:color="auto" w:fill="ffffff"/>
        </w:rPr>
        <w:t xml:space="preserve">еализация полномочий по составлению протоколов об административных правонарушениях направлена на обеспечение соблюдения арбитражными управляющими </w:t>
      </w:r>
      <w:r>
        <w:rPr>
          <w:shd w:val="clear" w:color="auto" w:fill="ffffff"/>
        </w:rPr>
        <w:t xml:space="preserve">действующего законодательства при</w:t>
      </w:r>
      <w:r>
        <w:rPr>
          <w:shd w:val="clear" w:color="auto" w:fill="ffffff"/>
        </w:rPr>
        <w:t xml:space="preserve"> осуществлени</w:t>
      </w: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 процедур банкротства, посредством наказания лиц, виновных в совершении правонарушений и предотвращения новых нарушений.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8"/>
        <w:spacing w:after="0"/>
      </w:pPr>
      <w:r>
        <w:rPr>
          <w:shd w:val="clear" w:color="auto" w:fill="ffffff"/>
        </w:rPr>
        <w:t xml:space="preserve">Т</w:t>
      </w:r>
      <w:r>
        <w:rPr>
          <w:shd w:val="clear" w:color="auto" w:fill="ffffff"/>
        </w:rPr>
        <w:t xml:space="preserve">аким образом, учитывая, что арбитражный управляющий является субъектом профессиональной деятельности, к которому предъявляются высокие требования, и деятельность которого является публичной, саморегулируем</w:t>
      </w:r>
      <w:r>
        <w:rPr>
          <w:shd w:val="clear" w:color="auto" w:fill="ffffff"/>
        </w:rPr>
        <w:t xml:space="preserve">ым</w:t>
      </w:r>
      <w:r>
        <w:rPr>
          <w:shd w:val="clear" w:color="auto" w:fill="ffffff"/>
        </w:rPr>
        <w:t xml:space="preserve"> организаци</w:t>
      </w:r>
      <w:r>
        <w:rPr>
          <w:shd w:val="clear" w:color="auto" w:fill="ffffff"/>
        </w:rPr>
        <w:t xml:space="preserve">ям</w:t>
      </w:r>
      <w:r>
        <w:rPr>
          <w:shd w:val="clear" w:color="auto" w:fill="ffffff"/>
        </w:rPr>
        <w:t xml:space="preserve"> необходимо усилить контроль за соблюдением арбитражными управляющими норм </w:t>
      </w:r>
      <w:r>
        <w:rPr>
          <w:shd w:val="clear" w:color="auto" w:fill="ffffff"/>
        </w:rPr>
        <w:t xml:space="preserve">действующего </w:t>
      </w:r>
      <w:r>
        <w:rPr>
          <w:shd w:val="clear" w:color="auto" w:fill="ffffff"/>
        </w:rPr>
        <w:t xml:space="preserve">законодательства</w:t>
      </w:r>
      <w:r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В этой связи, следует напомнить, что </w:t>
      </w:r>
      <w:r>
        <w:rPr>
          <w:shd w:val="clear" w:color="auto" w:fill="ffffff"/>
        </w:rPr>
        <w:t xml:space="preserve">в соответствии с п. 2 ст. 22 </w:t>
      </w:r>
      <w:r>
        <w:t xml:space="preserve">Закона о банкротстве  </w:t>
      </w:r>
      <w:r>
        <w:rPr>
          <w:shd w:val="clear" w:color="auto" w:fill="ffffff"/>
        </w:rPr>
        <w:t xml:space="preserve">саморегулируемая организация арбитражных управляющих обязана организовывать повышение уровня профессиональной подготовки своих членов.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Кроме того, саморегулируемым организациям </w:t>
      </w:r>
      <w:r>
        <w:rPr>
          <w:shd w:val="clear" w:color="auto" w:fill="ffffff"/>
        </w:rPr>
        <w:t xml:space="preserve">необходимо усилить контроль за предоставляемыми в арбитражные суды в порядке статьи 45 Закона о банкротстве</w:t>
      </w:r>
      <w:r>
        <w:t xml:space="preserve"> </w:t>
      </w:r>
      <w:r>
        <w:rPr>
          <w:shd w:val="clear" w:color="auto" w:fill="ffffff"/>
        </w:rPr>
        <w:t xml:space="preserve">сведениями о соответствии кандидатуры арбитражных управляющих  для утверждения в делах о несостоятельности (банкротстве). </w:t>
      </w:r>
      <w:r>
        <w:rPr>
          <w:shd w:val="clear" w:color="auto" w:fill="ffffff"/>
        </w:rPr>
        <w:t xml:space="preserve"> </w:t>
      </w:r>
      <w:r/>
      <w:r/>
    </w:p>
    <w:p>
      <w:pPr>
        <w:pStyle w:val="8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5" w:h="16837" w:orient="portrait"/>
      <w:pgMar w:top="1134" w:right="851" w:bottom="1134" w:left="1701" w:header="709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  <w:footnote w:id="2">
    <w:p>
      <w:pPr>
        <w:pStyle w:val="985"/>
        <w:rPr>
          <w:sz w:val="22"/>
          <w:szCs w:val="22"/>
        </w:rPr>
      </w:pPr>
      <w:r>
        <w:rPr>
          <w:rStyle w:val="98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далее -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Союз «УрСО АУ»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985"/>
        <w:rPr>
          <w:sz w:val="20"/>
          <w:szCs w:val="20"/>
        </w:rPr>
      </w:pPr>
      <w:r>
        <w:rPr>
          <w:rStyle w:val="98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далее-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ААУ «Солидарность» 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985"/>
      </w:pPr>
      <w:r>
        <w:rPr>
          <w:rStyle w:val="98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Федеральный  закон  от 26.10.2002 № 127-ФЗ «О несостоятельности (банкротстве)»</w:t>
      </w:r>
      <w:r/>
    </w:p>
  </w:footnote>
  <w:footnote w:id="5">
    <w:p>
      <w:pPr>
        <w:pStyle w:val="985"/>
      </w:pPr>
      <w:r>
        <w:rPr>
          <w:rStyle w:val="987"/>
        </w:rPr>
        <w:footnoteRef/>
      </w:r>
      <w:r>
        <w:t xml:space="preserve"> </w:t>
      </w:r>
      <w:r>
        <w:rPr>
          <w:shd w:val="clear" w:color="auto" w:fill="ffffff"/>
        </w:rPr>
        <w:t xml:space="preserve">Кодекс Российской Федерации об административных правонарушениях</w:t>
      </w:r>
      <w:r>
        <w:rPr>
          <w:shd w:val="clear" w:color="auto" w:fill="ffffff"/>
        </w:rPr>
        <w:t xml:space="preserve"> </w:t>
      </w:r>
      <w:r/>
    </w:p>
  </w:footnote>
  <w:footnote w:id="6">
    <w:p>
      <w:pPr>
        <w:pStyle w:val="985"/>
      </w:pPr>
      <w:r>
        <w:rPr>
          <w:rStyle w:val="98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далее – Федеральный закон о СРО</w:t>
      </w:r>
      <w:r/>
    </w:p>
  </w:footnote>
  <w:footnote w:id="7">
    <w:p>
      <w:pPr>
        <w:pStyle w:val="985"/>
      </w:pPr>
      <w:r>
        <w:rPr>
          <w:rStyle w:val="987"/>
        </w:rPr>
        <w:footnoteRef/>
      </w:r>
      <w:r>
        <w:t xml:space="preserve"> </w:t>
      </w:r>
      <w:r>
        <w:rPr>
          <w:shd w:val="clear" w:color="auto" w:fill="ffffff"/>
        </w:rPr>
        <w:t xml:space="preserve">Кодекс Российской Федерации об административных правонарушениях</w:t>
      </w:r>
      <w:r>
        <w:rPr>
          <w:shd w:val="clear" w:color="auto" w:fill="ffffff"/>
        </w:rPr>
        <w:t xml:space="preserve"> </w:t>
      </w:r>
      <w:r/>
      <w:r/>
    </w:p>
  </w:footnote>
  <w:footnote w:id="8">
    <w:p>
      <w:pPr>
        <w:pStyle w:val="1_487"/>
        <w:rPr>
          <w:rFonts w:ascii="Times New Roman" w:hAnsi="Times New Roman"/>
        </w:rPr>
      </w:pPr>
      <w:r>
        <w:rPr>
          <w:rStyle w:val="1_48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далее – СРО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9">
    <w:p>
      <w:pPr>
        <w:pStyle w:val="1_487"/>
      </w:pPr>
      <w:r>
        <w:rPr>
          <w:rStyle w:val="1_48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</w:t>
      </w:r>
      <w:r>
        <w:rPr>
          <w:rFonts w:ascii="Times New Roman" w:hAnsi="Times New Roman"/>
        </w:rPr>
        <w:t xml:space="preserve">алее – Федеральный стандарт № 235</w:t>
      </w:r>
      <w:r/>
      <w:r/>
    </w:p>
  </w:footnote>
  <w:footnote w:id="10">
    <w:p>
      <w:pPr>
        <w:pStyle w:val="985"/>
      </w:pPr>
      <w:r>
        <w:rPr>
          <w:rStyle w:val="987"/>
        </w:rPr>
        <w:footnoteRef/>
      </w:r>
      <w:r>
        <w:t xml:space="preserve"> </w:t>
      </w:r>
      <w:r>
        <w:t xml:space="preserve">Федеральный закон</w:t>
      </w:r>
      <w:r>
        <w:t xml:space="preserve"> от</w:t>
      </w:r>
      <w:r>
        <w:t xml:space="preserve"> 26.10.2002 № 127-ФЗ </w:t>
      </w:r>
      <w:r>
        <w:t xml:space="preserve"> </w:t>
      </w:r>
      <w:r>
        <w:t xml:space="preserve">«О несостоятельности (банкротстве)»</w:t>
      </w: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3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Style w:val="970"/>
      <w:spacing w:after="0"/>
      <w:tabs>
        <w:tab w:val="center" w:pos="4677" w:leader="none"/>
        <w:tab w:val="center" w:pos="5102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1" allowOverlap="1">
              <wp:simplePos x="0" y="0"/>
              <wp:positionH relativeFrom="margin">
                <wp:posOffset>2880995</wp:posOffset>
              </wp:positionH>
              <wp:positionV relativeFrom="paragraph">
                <wp:posOffset>635</wp:posOffset>
              </wp:positionV>
              <wp:extent cx="177165" cy="20320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16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0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02791680;o:allowoverlap:true;o:allowincell:true;mso-position-horizontal-relative:margin;margin-left:226.85pt;mso-position-horizontal:absolute;mso-position-vertical-relative:text;margin-top:0.05pt;mso-position-vertical:absolute;width:13.95pt;height:16.0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7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  <w:p>
    <w:pPr>
      <w:pStyle w:val="970"/>
      <w:spacing w:after="0"/>
      <w:tabs>
        <w:tab w:val="center" w:pos="4677" w:leader="none"/>
        <w:tab w:val="center" w:pos="5102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Style w:val="970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-RU" w:eastAsia="ru-RU" w:bidi="ar-SA"/>
      </w:rPr>
    </w:rPrDefault>
    <w:pPrDefault>
      <w:pPr>
        <w:jc w:val="both"/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5">
    <w:name w:val="Heading 1 Char"/>
    <w:basedOn w:val="967"/>
    <w:link w:val="961"/>
    <w:uiPriority w:val="9"/>
    <w:rPr>
      <w:rFonts w:ascii="Arial" w:hAnsi="Arial" w:eastAsia="Arial" w:cs="Arial"/>
      <w:sz w:val="40"/>
      <w:szCs w:val="40"/>
    </w:rPr>
  </w:style>
  <w:style w:type="character" w:styleId="796">
    <w:name w:val="Heading 2 Char"/>
    <w:basedOn w:val="967"/>
    <w:link w:val="962"/>
    <w:uiPriority w:val="9"/>
    <w:rPr>
      <w:rFonts w:ascii="Arial" w:hAnsi="Arial" w:eastAsia="Arial" w:cs="Arial"/>
      <w:sz w:val="34"/>
    </w:rPr>
  </w:style>
  <w:style w:type="character" w:styleId="797">
    <w:name w:val="Heading 3 Char"/>
    <w:basedOn w:val="967"/>
    <w:link w:val="963"/>
    <w:uiPriority w:val="9"/>
    <w:rPr>
      <w:rFonts w:ascii="Arial" w:hAnsi="Arial" w:eastAsia="Arial" w:cs="Arial"/>
      <w:sz w:val="30"/>
      <w:szCs w:val="30"/>
    </w:rPr>
  </w:style>
  <w:style w:type="character" w:styleId="798">
    <w:name w:val="Heading 4 Char"/>
    <w:basedOn w:val="967"/>
    <w:link w:val="964"/>
    <w:uiPriority w:val="9"/>
    <w:rPr>
      <w:rFonts w:ascii="Arial" w:hAnsi="Arial" w:eastAsia="Arial" w:cs="Arial"/>
      <w:b/>
      <w:bCs/>
      <w:sz w:val="26"/>
      <w:szCs w:val="26"/>
    </w:rPr>
  </w:style>
  <w:style w:type="character" w:styleId="799">
    <w:name w:val="Heading 5 Char"/>
    <w:basedOn w:val="967"/>
    <w:link w:val="965"/>
    <w:uiPriority w:val="9"/>
    <w:rPr>
      <w:rFonts w:ascii="Arial" w:hAnsi="Arial" w:eastAsia="Arial" w:cs="Arial"/>
      <w:b/>
      <w:bCs/>
      <w:sz w:val="24"/>
      <w:szCs w:val="24"/>
    </w:rPr>
  </w:style>
  <w:style w:type="character" w:styleId="800">
    <w:name w:val="Heading 6 Char"/>
    <w:basedOn w:val="967"/>
    <w:link w:val="966"/>
    <w:uiPriority w:val="9"/>
    <w:rPr>
      <w:rFonts w:ascii="Arial" w:hAnsi="Arial" w:eastAsia="Arial" w:cs="Arial"/>
      <w:b/>
      <w:bCs/>
      <w:sz w:val="22"/>
      <w:szCs w:val="22"/>
    </w:rPr>
  </w:style>
  <w:style w:type="paragraph" w:styleId="801">
    <w:name w:val="Heading 7"/>
    <w:basedOn w:val="970"/>
    <w:next w:val="970"/>
    <w:link w:val="8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>
    <w:name w:val="Heading 7 Char"/>
    <w:basedOn w:val="967"/>
    <w:link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970"/>
    <w:next w:val="970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4">
    <w:name w:val="Heading 8 Char"/>
    <w:basedOn w:val="967"/>
    <w:link w:val="803"/>
    <w:uiPriority w:val="9"/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970"/>
    <w:next w:val="970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>
    <w:name w:val="Heading 9 Char"/>
    <w:basedOn w:val="967"/>
    <w:link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No Spacing"/>
    <w:uiPriority w:val="1"/>
    <w:qFormat/>
    <w:pPr>
      <w:spacing w:before="0" w:after="0" w:line="240" w:lineRule="auto"/>
    </w:pPr>
  </w:style>
  <w:style w:type="character" w:styleId="808">
    <w:name w:val="Title Char"/>
    <w:basedOn w:val="967"/>
    <w:link w:val="972"/>
    <w:uiPriority w:val="10"/>
    <w:rPr>
      <w:sz w:val="48"/>
      <w:szCs w:val="48"/>
    </w:rPr>
  </w:style>
  <w:style w:type="character" w:styleId="809">
    <w:name w:val="Subtitle Char"/>
    <w:basedOn w:val="967"/>
    <w:link w:val="973"/>
    <w:uiPriority w:val="11"/>
    <w:rPr>
      <w:sz w:val="24"/>
      <w:szCs w:val="24"/>
    </w:rPr>
  </w:style>
  <w:style w:type="paragraph" w:styleId="810">
    <w:name w:val="Quote"/>
    <w:basedOn w:val="970"/>
    <w:next w:val="970"/>
    <w:link w:val="811"/>
    <w:uiPriority w:val="29"/>
    <w:qFormat/>
    <w:pPr>
      <w:ind w:left="720" w:right="720"/>
    </w:pPr>
    <w:rPr>
      <w:i/>
    </w:rPr>
  </w:style>
  <w:style w:type="character" w:styleId="811">
    <w:name w:val="Quote Char"/>
    <w:link w:val="810"/>
    <w:uiPriority w:val="29"/>
    <w:rPr>
      <w:i/>
    </w:rPr>
  </w:style>
  <w:style w:type="paragraph" w:styleId="812">
    <w:name w:val="Intense Quote"/>
    <w:basedOn w:val="970"/>
    <w:next w:val="970"/>
    <w:link w:val="8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>
    <w:name w:val="Intense Quote Char"/>
    <w:link w:val="812"/>
    <w:uiPriority w:val="30"/>
    <w:rPr>
      <w:i/>
    </w:rPr>
  </w:style>
  <w:style w:type="paragraph" w:styleId="814">
    <w:name w:val="Header"/>
    <w:basedOn w:val="970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>
    <w:name w:val="Header Char"/>
    <w:basedOn w:val="967"/>
    <w:link w:val="814"/>
    <w:uiPriority w:val="99"/>
  </w:style>
  <w:style w:type="paragraph" w:styleId="816">
    <w:name w:val="Footer"/>
    <w:basedOn w:val="970"/>
    <w:link w:val="8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>
    <w:name w:val="Footer Char"/>
    <w:basedOn w:val="967"/>
    <w:link w:val="816"/>
    <w:uiPriority w:val="99"/>
  </w:style>
  <w:style w:type="paragraph" w:styleId="818">
    <w:name w:val="Caption"/>
    <w:basedOn w:val="970"/>
    <w:next w:val="9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>
    <w:name w:val="Caption Char"/>
    <w:basedOn w:val="818"/>
    <w:link w:val="816"/>
    <w:uiPriority w:val="99"/>
  </w:style>
  <w:style w:type="table" w:styleId="820">
    <w:name w:val="Table Grid Light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1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>
    <w:name w:val="Grid Table 4 - Accent 1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9">
    <w:name w:val="Grid Table 4 - Accent 2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Grid Table 4 - Accent 3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1">
    <w:name w:val="Grid Table 4 - Accent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Grid Table 4 - Accent 5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3">
    <w:name w:val="Grid Table 4 - Accent 6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4">
    <w:name w:val="Grid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1">
    <w:name w:val="Grid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2">
    <w:name w:val="Grid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3">
    <w:name w:val="Grid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4">
    <w:name w:val="Grid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5">
    <w:name w:val="Grid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6">
    <w:name w:val="Grid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3">
    <w:name w:val="List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4">
    <w:name w:val="List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5">
    <w:name w:val="List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6">
    <w:name w:val="List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7">
    <w:name w:val="List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8">
    <w:name w:val="List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1">
    <w:name w:val="List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2">
    <w:name w:val="List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3">
    <w:name w:val="List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4">
    <w:name w:val="List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5">
    <w:name w:val="List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6">
    <w:name w:val="List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7">
    <w:name w:val="List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8">
    <w:name w:val="List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9">
    <w:name w:val="List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0">
    <w:name w:val="List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1">
    <w:name w:val="List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2">
    <w:name w:val="List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3">
    <w:name w:val="List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4">
    <w:name w:val="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 &amp; 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Bordered &amp; 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3">
    <w:name w:val="Bordered &amp; 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4">
    <w:name w:val="Bordered &amp; 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5">
    <w:name w:val="Bordered &amp; 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6">
    <w:name w:val="Bordered &amp; 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7">
    <w:name w:val="Bordered &amp; 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8">
    <w:name w:val="Bordered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9">
    <w:name w:val="Bordered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0">
    <w:name w:val="Bordered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1">
    <w:name w:val="Bordered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2">
    <w:name w:val="Bordered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3">
    <w:name w:val="Bordered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4">
    <w:name w:val="Bordered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5">
    <w:name w:val="Footnote Text Char"/>
    <w:link w:val="985"/>
    <w:uiPriority w:val="99"/>
    <w:rPr>
      <w:sz w:val="18"/>
    </w:rPr>
  </w:style>
  <w:style w:type="paragraph" w:styleId="946">
    <w:name w:val="endnote text"/>
    <w:basedOn w:val="970"/>
    <w:link w:val="947"/>
    <w:uiPriority w:val="99"/>
    <w:semiHidden/>
    <w:unhideWhenUsed/>
    <w:pPr>
      <w:spacing w:after="0" w:line="240" w:lineRule="auto"/>
    </w:pPr>
    <w:rPr>
      <w:sz w:val="20"/>
    </w:rPr>
  </w:style>
  <w:style w:type="character" w:styleId="947">
    <w:name w:val="Endnote Text Char"/>
    <w:link w:val="946"/>
    <w:uiPriority w:val="99"/>
    <w:rPr>
      <w:sz w:val="20"/>
    </w:rPr>
  </w:style>
  <w:style w:type="character" w:styleId="948">
    <w:name w:val="endnote reference"/>
    <w:basedOn w:val="967"/>
    <w:uiPriority w:val="99"/>
    <w:semiHidden/>
    <w:unhideWhenUsed/>
    <w:rPr>
      <w:vertAlign w:val="superscript"/>
    </w:rPr>
  </w:style>
  <w:style w:type="paragraph" w:styleId="949">
    <w:name w:val="toc 1"/>
    <w:basedOn w:val="970"/>
    <w:next w:val="970"/>
    <w:uiPriority w:val="39"/>
    <w:unhideWhenUsed/>
    <w:pPr>
      <w:ind w:left="0" w:right="0" w:firstLine="0"/>
      <w:spacing w:after="57"/>
    </w:pPr>
  </w:style>
  <w:style w:type="paragraph" w:styleId="950">
    <w:name w:val="toc 2"/>
    <w:basedOn w:val="970"/>
    <w:next w:val="970"/>
    <w:uiPriority w:val="39"/>
    <w:unhideWhenUsed/>
    <w:pPr>
      <w:ind w:left="283" w:right="0" w:firstLine="0"/>
      <w:spacing w:after="57"/>
    </w:pPr>
  </w:style>
  <w:style w:type="paragraph" w:styleId="951">
    <w:name w:val="toc 3"/>
    <w:basedOn w:val="970"/>
    <w:next w:val="970"/>
    <w:uiPriority w:val="39"/>
    <w:unhideWhenUsed/>
    <w:pPr>
      <w:ind w:left="567" w:right="0" w:firstLine="0"/>
      <w:spacing w:after="57"/>
    </w:pPr>
  </w:style>
  <w:style w:type="paragraph" w:styleId="952">
    <w:name w:val="toc 4"/>
    <w:basedOn w:val="970"/>
    <w:next w:val="970"/>
    <w:uiPriority w:val="39"/>
    <w:unhideWhenUsed/>
    <w:pPr>
      <w:ind w:left="850" w:right="0" w:firstLine="0"/>
      <w:spacing w:after="57"/>
    </w:pPr>
  </w:style>
  <w:style w:type="paragraph" w:styleId="953">
    <w:name w:val="toc 5"/>
    <w:basedOn w:val="970"/>
    <w:next w:val="970"/>
    <w:uiPriority w:val="39"/>
    <w:unhideWhenUsed/>
    <w:pPr>
      <w:ind w:left="1134" w:right="0" w:firstLine="0"/>
      <w:spacing w:after="57"/>
    </w:pPr>
  </w:style>
  <w:style w:type="paragraph" w:styleId="954">
    <w:name w:val="toc 6"/>
    <w:basedOn w:val="970"/>
    <w:next w:val="970"/>
    <w:uiPriority w:val="39"/>
    <w:unhideWhenUsed/>
    <w:pPr>
      <w:ind w:left="1417" w:right="0" w:firstLine="0"/>
      <w:spacing w:after="57"/>
    </w:pPr>
  </w:style>
  <w:style w:type="paragraph" w:styleId="955">
    <w:name w:val="toc 7"/>
    <w:basedOn w:val="970"/>
    <w:next w:val="970"/>
    <w:uiPriority w:val="39"/>
    <w:unhideWhenUsed/>
    <w:pPr>
      <w:ind w:left="1701" w:right="0" w:firstLine="0"/>
      <w:spacing w:after="57"/>
    </w:pPr>
  </w:style>
  <w:style w:type="paragraph" w:styleId="956">
    <w:name w:val="toc 8"/>
    <w:basedOn w:val="970"/>
    <w:next w:val="970"/>
    <w:uiPriority w:val="39"/>
    <w:unhideWhenUsed/>
    <w:pPr>
      <w:ind w:left="1984" w:right="0" w:firstLine="0"/>
      <w:spacing w:after="57"/>
    </w:pPr>
  </w:style>
  <w:style w:type="paragraph" w:styleId="957">
    <w:name w:val="toc 9"/>
    <w:basedOn w:val="970"/>
    <w:next w:val="970"/>
    <w:uiPriority w:val="39"/>
    <w:unhideWhenUsed/>
    <w:pPr>
      <w:ind w:left="2268" w:right="0" w:firstLine="0"/>
      <w:spacing w:after="57"/>
    </w:pPr>
  </w:style>
  <w:style w:type="paragraph" w:styleId="958">
    <w:name w:val="TOC Heading"/>
    <w:uiPriority w:val="39"/>
    <w:unhideWhenUsed/>
  </w:style>
  <w:style w:type="paragraph" w:styleId="959">
    <w:name w:val="table of figures"/>
    <w:basedOn w:val="970"/>
    <w:next w:val="970"/>
    <w:uiPriority w:val="99"/>
    <w:unhideWhenUsed/>
    <w:pPr>
      <w:spacing w:after="0" w:afterAutospacing="0"/>
    </w:pPr>
  </w:style>
  <w:style w:type="paragraph" w:styleId="960">
    <w:name w:val="Normal"/>
    <w:qFormat/>
  </w:style>
  <w:style w:type="paragraph" w:styleId="961">
    <w:name w:val="Heading 1"/>
    <w:basedOn w:val="970"/>
    <w:next w:val="970"/>
    <w:pPr>
      <w:jc w:val="left"/>
      <w:keepNext/>
      <w:spacing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color w:val="000000"/>
    </w:rPr>
  </w:style>
  <w:style w:type="paragraph" w:styleId="962">
    <w:name w:val="Heading 2"/>
    <w:basedOn w:val="970"/>
    <w:next w:val="970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b/>
      <w:color w:val="000000"/>
      <w:sz w:val="36"/>
      <w:szCs w:val="36"/>
    </w:rPr>
  </w:style>
  <w:style w:type="paragraph" w:styleId="963">
    <w:name w:val="Heading 3"/>
    <w:basedOn w:val="970"/>
    <w:next w:val="970"/>
    <w:pPr>
      <w:keepLines/>
      <w:keepNext/>
      <w:spacing w:before="28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b/>
      <w:color w:val="000000"/>
    </w:rPr>
  </w:style>
  <w:style w:type="paragraph" w:styleId="964">
    <w:name w:val="Heading 4"/>
    <w:basedOn w:val="970"/>
    <w:next w:val="970"/>
    <w:pPr>
      <w:keepLines/>
      <w:keepNext/>
      <w:spacing w:before="24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b/>
      <w:color w:val="000000"/>
      <w:sz w:val="24"/>
      <w:szCs w:val="24"/>
    </w:rPr>
  </w:style>
  <w:style w:type="paragraph" w:styleId="965">
    <w:name w:val="Heading 5"/>
    <w:basedOn w:val="970"/>
    <w:next w:val="970"/>
    <w:pPr>
      <w:keepLines/>
      <w:keepNext/>
      <w:spacing w:before="22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b/>
      <w:color w:val="000000"/>
      <w:sz w:val="22"/>
      <w:szCs w:val="22"/>
    </w:rPr>
  </w:style>
  <w:style w:type="paragraph" w:styleId="966">
    <w:name w:val="Heading 6"/>
    <w:basedOn w:val="970"/>
    <w:next w:val="970"/>
    <w:pPr>
      <w:keepLines/>
      <w:keepNext/>
      <w:spacing w:before="20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b/>
      <w:color w:val="000000"/>
      <w:sz w:val="20"/>
      <w:szCs w:val="20"/>
    </w:rPr>
  </w:style>
  <w:style w:type="character" w:styleId="967" w:default="1">
    <w:name w:val="Default Paragraph Font"/>
    <w:uiPriority w:val="1"/>
    <w:semiHidden/>
    <w:unhideWhenUsed/>
  </w:style>
  <w:style w:type="table" w:styleId="9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9" w:default="1">
    <w:name w:val="No List"/>
    <w:uiPriority w:val="99"/>
    <w:semiHidden/>
    <w:unhideWhenUsed/>
  </w:style>
  <w:style w:type="paragraph" w:styleId="970" w:customStyle="1">
    <w:name w:val="Normal"/>
  </w:style>
  <w:style w:type="table" w:styleId="97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72">
    <w:name w:val="Title"/>
    <w:basedOn w:val="970"/>
    <w:next w:val="970"/>
    <w:pPr>
      <w:keepLines/>
      <w:keepNext/>
      <w:spacing w:before="480"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color w:val="000000"/>
      <w:sz w:val="72"/>
      <w:szCs w:val="72"/>
    </w:rPr>
  </w:style>
  <w:style w:type="paragraph" w:styleId="973">
    <w:name w:val="Subtitle"/>
    <w:basedOn w:val="970"/>
    <w:next w:val="970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4">
    <w:name w:val="Table Grid"/>
    <w:basedOn w:val="968"/>
    <w:uiPriority w:val="59"/>
    <w:pPr>
      <w:jc w:val="left"/>
      <w:spacing w:after="0"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5">
    <w:name w:val="Balloon Text"/>
    <w:basedOn w:val="960"/>
    <w:link w:val="976"/>
    <w:uiPriority w:val="99"/>
    <w:semiHidden/>
    <w:unhideWhenUsed/>
    <w:pPr>
      <w:jc w:val="left"/>
      <w:spacing w:after="0"/>
    </w:pPr>
    <w:rPr>
      <w:rFonts w:ascii="Tahoma" w:hAnsi="Tahoma" w:cs="Tahoma" w:eastAsiaTheme="minorHAnsi"/>
      <w:sz w:val="16"/>
      <w:szCs w:val="16"/>
      <w:lang w:eastAsia="en-US"/>
    </w:rPr>
  </w:style>
  <w:style w:type="character" w:styleId="976" w:customStyle="1">
    <w:name w:val="Текст выноски Знак"/>
    <w:basedOn w:val="967"/>
    <w:link w:val="975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paragraph" w:styleId="977" w:customStyle="1">
    <w:name w:val="А"/>
    <w:basedOn w:val="960"/>
    <w:pPr>
      <w:ind w:firstLine="709"/>
      <w:spacing w:after="0"/>
    </w:pPr>
  </w:style>
  <w:style w:type="paragraph" w:styleId="978">
    <w:name w:val="Normal (Web)"/>
    <w:basedOn w:val="960"/>
    <w:uiPriority w:val="99"/>
    <w:semiHidden/>
    <w:unhideWhenUsed/>
    <w:pPr>
      <w:jc w:val="left"/>
      <w:spacing w:before="100" w:beforeAutospacing="1" w:after="100" w:afterAutospacing="1"/>
    </w:pPr>
    <w:rPr>
      <w:sz w:val="24"/>
      <w:szCs w:val="24"/>
    </w:rPr>
  </w:style>
  <w:style w:type="paragraph" w:styleId="979" w:customStyle="1">
    <w:name w:val="msonormalbullet1.gif"/>
    <w:basedOn w:val="960"/>
    <w:pPr>
      <w:jc w:val="left"/>
      <w:spacing w:before="100" w:beforeAutospacing="1" w:after="100" w:afterAutospacing="1"/>
    </w:pPr>
    <w:rPr>
      <w:sz w:val="24"/>
      <w:szCs w:val="24"/>
    </w:rPr>
  </w:style>
  <w:style w:type="paragraph" w:styleId="980" w:customStyle="1">
    <w:name w:val="Default"/>
    <w:pPr>
      <w:jc w:val="left"/>
      <w:spacing w:after="0"/>
    </w:pPr>
    <w:rPr>
      <w:color w:val="000000"/>
      <w:sz w:val="24"/>
      <w:szCs w:val="24"/>
    </w:rPr>
  </w:style>
  <w:style w:type="character" w:styleId="981">
    <w:name w:val="Hyperlink"/>
    <w:basedOn w:val="967"/>
    <w:link w:val="988"/>
    <w:unhideWhenUsed/>
    <w:rPr>
      <w:color w:val="0000ff" w:themeColor="hyperlink"/>
      <w:u w:val="single"/>
    </w:rPr>
  </w:style>
  <w:style w:type="paragraph" w:styleId="982">
    <w:name w:val="Body Text Indent"/>
    <w:basedOn w:val="960"/>
    <w:link w:val="983"/>
    <w:pPr>
      <w:ind w:firstLine="540"/>
      <w:jc w:val="left"/>
      <w:spacing w:after="0"/>
    </w:pPr>
    <w:rPr>
      <w:szCs w:val="24"/>
    </w:rPr>
  </w:style>
  <w:style w:type="character" w:styleId="983" w:customStyle="1">
    <w:name w:val="Основной текст с отступом Знак"/>
    <w:basedOn w:val="967"/>
    <w:link w:val="982"/>
    <w:rPr>
      <w:szCs w:val="24"/>
    </w:rPr>
  </w:style>
  <w:style w:type="paragraph" w:styleId="984">
    <w:name w:val="List Paragraph"/>
    <w:basedOn w:val="960"/>
    <w:qFormat/>
    <w:pPr>
      <w:contextualSpacing/>
      <w:ind w:left="720"/>
      <w:jc w:val="left"/>
      <w:spacing w:after="0"/>
    </w:pPr>
    <w:rPr>
      <w:sz w:val="20"/>
      <w:szCs w:val="20"/>
      <w:lang w:eastAsia="ar-SA"/>
    </w:rPr>
  </w:style>
  <w:style w:type="paragraph" w:styleId="985">
    <w:name w:val="footnote text"/>
    <w:basedOn w:val="960"/>
    <w:link w:val="986"/>
    <w:uiPriority w:val="99"/>
    <w:unhideWhenUsed/>
    <w:pPr>
      <w:ind w:firstLine="709"/>
      <w:spacing w:after="0"/>
    </w:pPr>
    <w:rPr>
      <w:rFonts w:eastAsia="Calibri"/>
      <w:sz w:val="20"/>
      <w:szCs w:val="20"/>
      <w:lang w:eastAsia="en-US"/>
    </w:rPr>
  </w:style>
  <w:style w:type="character" w:styleId="986" w:customStyle="1">
    <w:name w:val="Текст сноски Знак"/>
    <w:basedOn w:val="967"/>
    <w:link w:val="985"/>
    <w:uiPriority w:val="99"/>
    <w:rPr>
      <w:rFonts w:eastAsia="Calibri"/>
      <w:sz w:val="20"/>
      <w:szCs w:val="20"/>
      <w:lang w:eastAsia="en-US"/>
    </w:rPr>
  </w:style>
  <w:style w:type="character" w:styleId="987">
    <w:name w:val="footnote reference"/>
    <w:uiPriority w:val="99"/>
    <w:unhideWhenUsed/>
    <w:rPr>
      <w:vertAlign w:val="superscript"/>
    </w:rPr>
  </w:style>
  <w:style w:type="paragraph" w:styleId="988" w:customStyle="1">
    <w:name w:val="Гиперссылка1"/>
    <w:basedOn w:val="960"/>
    <w:link w:val="981"/>
    <w:pPr>
      <w:jc w:val="left"/>
      <w:spacing w:after="160" w:line="264" w:lineRule="auto"/>
    </w:pPr>
    <w:rPr>
      <w:color w:val="0000ff" w:themeColor="hyperlink"/>
      <w:u w:val="single"/>
    </w:rPr>
  </w:style>
  <w:style w:type="paragraph" w:styleId="989" w:customStyle="1">
    <w:name w:val="Акт"/>
    <w:basedOn w:val="960"/>
    <w:pPr>
      <w:ind w:firstLine="851"/>
      <w:spacing w:after="0"/>
    </w:pPr>
    <w:rPr>
      <w:rFonts w:eastAsia="Calibri"/>
    </w:rPr>
  </w:style>
  <w:style w:type="paragraph" w:styleId="1_487" w:customStyle="1">
    <w:name w:val="Текст сноски"/>
    <w:basedOn w:val="946"/>
    <w:next w:val="959"/>
    <w:link w:val="96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488" w:customStyle="1">
    <w:name w:val="Знак сноски"/>
    <w:basedOn w:val="949"/>
    <w:next w:val="961"/>
    <w:link w:val="946"/>
    <w:uiPriority w:val="99"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Чернавских Екатерина Борисовна</dc:creator>
  <cp:revision>72</cp:revision>
  <dcterms:created xsi:type="dcterms:W3CDTF">2020-11-10T10:37:00Z</dcterms:created>
  <dcterms:modified xsi:type="dcterms:W3CDTF">2025-12-12T05:21:27Z</dcterms:modified>
</cp:coreProperties>
</file>