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54D0" w:rsidRDefault="0010301C">
      <w:pPr>
        <w:pStyle w:val="normal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 О К Л А Д</w:t>
      </w:r>
    </w:p>
    <w:p w:rsidR="00BB54D0" w:rsidRDefault="0010301C">
      <w:pPr>
        <w:pStyle w:val="normal"/>
        <w:spacing w:after="0"/>
        <w:jc w:val="center"/>
        <w:rPr>
          <w:b/>
          <w:color w:val="000000"/>
          <w:sz w:val="32"/>
          <w:szCs w:val="32"/>
        </w:rPr>
      </w:pPr>
      <w:r>
        <w:t>«Правоприменительная практика Управления Росреестра по Свердловской области  в сфере привлечения арбитражных управляющих к административной ответственности»</w:t>
      </w:r>
    </w:p>
    <w:p w:rsidR="00BB54D0" w:rsidRDefault="00BB54D0">
      <w:pPr>
        <w:pStyle w:val="normal"/>
        <w:spacing w:after="0"/>
        <w:jc w:val="center"/>
        <w:rPr>
          <w:b/>
          <w:color w:val="000000"/>
          <w:sz w:val="32"/>
          <w:szCs w:val="32"/>
        </w:rPr>
      </w:pPr>
    </w:p>
    <w:p w:rsidR="00BB54D0" w:rsidRDefault="0010301C">
      <w:pPr>
        <w:pStyle w:val="normal"/>
        <w:spacing w:after="0"/>
        <w:ind w:firstLine="567"/>
        <w:rPr>
          <w:color w:val="000000"/>
        </w:rPr>
      </w:pPr>
      <w:r>
        <w:t>Росреестру и его территориальным органам в рамках осуществления функций органа по контролю (надзору)  за деятельностью саморегулируемых организаций арбитражных управляющих предоставлены полномочия по возбуждению в отношении арбитражных управляющих дел об административных правонарушениях, предусмотренных ч.3, ч. 3.1  ст. 14.13 КоАП РФ, в связи с неисполнением обязанностей, установленных законодательством о несостоятельности (банкротстве), если такое действие (бездействие) не содержит уголовно наказуемого деяния.</w:t>
      </w:r>
    </w:p>
    <w:p w:rsidR="00BB54D0" w:rsidRDefault="0010301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color w:val="000000"/>
        </w:rPr>
      </w:pPr>
      <w:r>
        <w:rPr>
          <w:color w:val="000000"/>
        </w:rPr>
        <w:t>В рамках реализации указанных</w:t>
      </w:r>
      <w:r>
        <w:t xml:space="preserve"> полномочий</w:t>
      </w:r>
      <w:r>
        <w:rPr>
          <w:color w:val="000000"/>
        </w:rPr>
        <w:t xml:space="preserve">  должностными лицами Управления  за </w:t>
      </w:r>
      <w:r w:rsidRPr="003F3306">
        <w:t>9 месяцев 202</w:t>
      </w:r>
      <w:r w:rsidR="003F3306" w:rsidRPr="003F3306">
        <w:t>1</w:t>
      </w:r>
      <w:r>
        <w:rPr>
          <w:color w:val="000000"/>
        </w:rPr>
        <w:t xml:space="preserve"> года по результатам рассмотрения поступ</w:t>
      </w:r>
      <w:r w:rsidR="00247206">
        <w:rPr>
          <w:color w:val="000000"/>
        </w:rPr>
        <w:t>ивших</w:t>
      </w:r>
      <w:r>
        <w:rPr>
          <w:color w:val="000000"/>
        </w:rPr>
        <w:t xml:space="preserve"> обращений возбуждено </w:t>
      </w:r>
      <w:r w:rsidRPr="00980BE2">
        <w:t>2</w:t>
      </w:r>
      <w:r w:rsidR="00980BE2" w:rsidRPr="00980BE2">
        <w:t>57</w:t>
      </w:r>
      <w:r w:rsidRPr="00980BE2">
        <w:t xml:space="preserve"> </w:t>
      </w:r>
      <w:r>
        <w:rPr>
          <w:color w:val="000000"/>
        </w:rPr>
        <w:t>дел об административных правонарушениях</w:t>
      </w:r>
      <w:r>
        <w:t>.</w:t>
      </w:r>
      <w:r>
        <w:rPr>
          <w:color w:val="000000"/>
        </w:rPr>
        <w:t xml:space="preserve"> </w:t>
      </w:r>
      <w:r>
        <w:t>П</w:t>
      </w:r>
      <w:r>
        <w:rPr>
          <w:color w:val="000000"/>
        </w:rPr>
        <w:t>о результатам административного расследования</w:t>
      </w:r>
      <w:r>
        <w:t xml:space="preserve"> вынесено</w:t>
      </w:r>
      <w:r>
        <w:rPr>
          <w:color w:val="000000"/>
        </w:rPr>
        <w:t xml:space="preserve"> </w:t>
      </w:r>
      <w:r w:rsidR="003F3306">
        <w:rPr>
          <w:color w:val="000000"/>
        </w:rPr>
        <w:t>68</w:t>
      </w:r>
      <w:r>
        <w:rPr>
          <w:color w:val="000000"/>
        </w:rPr>
        <w:t xml:space="preserve"> постановления о прекращении производства по делу об административном правонарушении, составлено </w:t>
      </w:r>
      <w:r w:rsidR="003F3306">
        <w:rPr>
          <w:color w:val="000000"/>
        </w:rPr>
        <w:t>165</w:t>
      </w:r>
      <w:r>
        <w:rPr>
          <w:color w:val="000000"/>
        </w:rPr>
        <w:t xml:space="preserve"> протоколов об административных правонарушениях. </w:t>
      </w:r>
    </w:p>
    <w:p w:rsidR="00BB54D0" w:rsidRDefault="0010301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  <w:r w:rsidR="00247206">
        <w:rPr>
          <w:color w:val="000000"/>
        </w:rPr>
        <w:tab/>
      </w:r>
      <w:r>
        <w:rPr>
          <w:color w:val="000000"/>
        </w:rPr>
        <w:t xml:space="preserve">По результатам рассмотрения заявлений </w:t>
      </w:r>
      <w:r>
        <w:t>У</w:t>
      </w:r>
      <w:r>
        <w:rPr>
          <w:color w:val="000000"/>
        </w:rPr>
        <w:t>правления арбитражным судом</w:t>
      </w:r>
      <w:r>
        <w:t xml:space="preserve"> вынесено</w:t>
      </w:r>
      <w:r>
        <w:rPr>
          <w:color w:val="000000"/>
        </w:rPr>
        <w:t xml:space="preserve">  </w:t>
      </w:r>
      <w:r w:rsidR="003F3306">
        <w:rPr>
          <w:color w:val="000000"/>
        </w:rPr>
        <w:t>52</w:t>
      </w:r>
      <w:r>
        <w:rPr>
          <w:color w:val="000000"/>
        </w:rPr>
        <w:t xml:space="preserve"> решения о назначении административного наказания в виде предупреждения, </w:t>
      </w:r>
      <w:r w:rsidR="003F3306">
        <w:rPr>
          <w:color w:val="000000"/>
        </w:rPr>
        <w:t>12</w:t>
      </w:r>
      <w:r>
        <w:rPr>
          <w:color w:val="000000"/>
        </w:rPr>
        <w:t xml:space="preserve"> решений о наложении штрафов, по 9</w:t>
      </w:r>
      <w:r w:rsidR="003F3306">
        <w:rPr>
          <w:color w:val="000000"/>
        </w:rPr>
        <w:t>4</w:t>
      </w:r>
      <w:r>
        <w:rPr>
          <w:color w:val="000000"/>
        </w:rPr>
        <w:t xml:space="preserve"> делам об административных правонарушениях </w:t>
      </w:r>
      <w:r w:rsidR="00247206">
        <w:rPr>
          <w:color w:val="000000"/>
        </w:rPr>
        <w:t>арбитражные управляющие освобождены от административной ответственности</w:t>
      </w:r>
      <w:r>
        <w:rPr>
          <w:color w:val="000000"/>
        </w:rPr>
        <w:t xml:space="preserve"> в связи с малозначительностью деяния и вынесением устного замечания (статья 2.9 КоАП РФ). </w:t>
      </w:r>
      <w:r w:rsidR="003F3306">
        <w:rPr>
          <w:color w:val="000000"/>
        </w:rPr>
        <w:t xml:space="preserve">Семи </w:t>
      </w:r>
      <w:r w:rsidRPr="00347DC5">
        <w:rPr>
          <w:color w:val="FF0000"/>
        </w:rPr>
        <w:t xml:space="preserve"> </w:t>
      </w:r>
      <w:r>
        <w:t>арбитражн</w:t>
      </w:r>
      <w:r w:rsidR="003F3306">
        <w:t>ым</w:t>
      </w:r>
      <w:r>
        <w:t xml:space="preserve"> управляющ</w:t>
      </w:r>
      <w:r w:rsidR="003F3306">
        <w:t>им</w:t>
      </w:r>
      <w:r>
        <w:t xml:space="preserve"> назначено наказание в виде дисквалификации на </w:t>
      </w:r>
      <w:r w:rsidR="003F3306">
        <w:t xml:space="preserve">срок </w:t>
      </w:r>
      <w:r>
        <w:t xml:space="preserve">6 месяцев. </w:t>
      </w:r>
    </w:p>
    <w:p w:rsidR="00C86F59" w:rsidRPr="00ED057A" w:rsidRDefault="00C86F59" w:rsidP="00C86F5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</w:pPr>
      <w:r w:rsidRPr="00ED057A">
        <w:t xml:space="preserve">Необходимо отметить, что за 9 месяцев  2021 года по сравнению с аналогичным периодом 2020 года увеличилось количество назначаемых арбитражным судом наказаний в виде </w:t>
      </w:r>
      <w:r w:rsidR="003F3306" w:rsidRPr="00ED057A">
        <w:t xml:space="preserve">предупреждения, </w:t>
      </w:r>
      <w:r w:rsidRPr="00ED057A">
        <w:t xml:space="preserve">штрафа и дисквалификации.  </w:t>
      </w:r>
    </w:p>
    <w:p w:rsidR="00C63B6A" w:rsidRDefault="00347DC5" w:rsidP="00347DC5">
      <w:pPr>
        <w:pStyle w:val="normal"/>
        <w:spacing w:after="0"/>
        <w:ind w:firstLine="709"/>
      </w:pPr>
      <w:r w:rsidRPr="00ED057A">
        <w:t>Большинство выявленных правонарушений касается раскрытия арбитражными управляющими сведений о своей деятельности</w:t>
      </w:r>
      <w:r w:rsidR="00C63B6A">
        <w:t>:</w:t>
      </w:r>
      <w:r w:rsidRPr="00ED057A">
        <w:t xml:space="preserve"> наруш</w:t>
      </w:r>
      <w:r w:rsidR="00C63B6A">
        <w:t>аются</w:t>
      </w:r>
      <w:r w:rsidRPr="00ED057A">
        <w:t xml:space="preserve"> срок</w:t>
      </w:r>
      <w:r w:rsidR="00C63B6A">
        <w:t>и</w:t>
      </w:r>
      <w:r w:rsidRPr="00ED057A">
        <w:t xml:space="preserve"> и поряд</w:t>
      </w:r>
      <w:r w:rsidR="00C63B6A">
        <w:t>ок</w:t>
      </w:r>
      <w:r w:rsidRPr="00ED057A">
        <w:t xml:space="preserve"> опубликования сведений о процедуре банкротства, а также требовани</w:t>
      </w:r>
      <w:r w:rsidR="00C63B6A">
        <w:t>я</w:t>
      </w:r>
      <w:r w:rsidRPr="00ED057A">
        <w:t xml:space="preserve"> к порядку представления и содержанию отчетов о деятельности арбитражного управляющего.</w:t>
      </w:r>
    </w:p>
    <w:p w:rsidR="00C63B6A" w:rsidRDefault="00347DC5" w:rsidP="00C63B6A">
      <w:pPr>
        <w:pStyle w:val="normal"/>
        <w:spacing w:after="0"/>
        <w:ind w:firstLine="709"/>
        <w:rPr>
          <w:highlight w:val="white"/>
        </w:rPr>
      </w:pPr>
      <w:r w:rsidRPr="00ED057A">
        <w:rPr>
          <w:highlight w:val="white"/>
        </w:rPr>
        <w:t xml:space="preserve"> </w:t>
      </w:r>
      <w:r w:rsidR="00C63B6A">
        <w:rPr>
          <w:highlight w:val="white"/>
        </w:rPr>
        <w:t xml:space="preserve">В частности, многие арбитражные управляющие не включают в установленный срок сведения в Единый федеральный реестр сведений о банкротстве, не опубликовывают сведения в официальном издании (газете «Коммерсантъ», нарушают сроки представления отчетов собранию кредиторов, не указывают в отчётах подробные сведения о выявленном </w:t>
      </w:r>
      <w:r w:rsidR="00C63B6A">
        <w:rPr>
          <w:highlight w:val="white"/>
        </w:rPr>
        <w:lastRenderedPageBreak/>
        <w:t xml:space="preserve">имуществе, о требованиях кредиторов, включенных в реестр, а также о текущих обязательствах должника. </w:t>
      </w:r>
    </w:p>
    <w:p w:rsidR="00347DC5" w:rsidRPr="00ED057A" w:rsidRDefault="00347DC5" w:rsidP="00347DC5">
      <w:pPr>
        <w:pStyle w:val="normal"/>
        <w:spacing w:after="0"/>
        <w:ind w:firstLine="709"/>
        <w:rPr>
          <w:highlight w:val="white"/>
        </w:rPr>
      </w:pPr>
      <w:r w:rsidRPr="00ED057A">
        <w:rPr>
          <w:highlight w:val="white"/>
        </w:rPr>
        <w:t xml:space="preserve">Кроме того, </w:t>
      </w:r>
      <w:r w:rsidR="00C63B6A">
        <w:rPr>
          <w:highlight w:val="white"/>
        </w:rPr>
        <w:t>достаточно распространенными я</w:t>
      </w:r>
      <w:r w:rsidRPr="00ED057A">
        <w:rPr>
          <w:highlight w:val="white"/>
        </w:rPr>
        <w:t xml:space="preserve">вляются нарушения сроков проведения инвентаризации и порядка реализации имущества должника, порядка распределения денежных средств должника, порядка проведения собрания кредиторов и работников, бывших работников должника.  </w:t>
      </w:r>
    </w:p>
    <w:p w:rsidR="00C63B6A" w:rsidRDefault="0010301C" w:rsidP="00980BE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</w:pPr>
      <w:r w:rsidRPr="00C86F59">
        <w:t>Особое внимание</w:t>
      </w:r>
      <w:r w:rsidR="00C63B6A">
        <w:t xml:space="preserve"> </w:t>
      </w:r>
      <w:r w:rsidRPr="00C86F59">
        <w:t>удел</w:t>
      </w:r>
      <w:r w:rsidR="00C63B6A">
        <w:t>яется</w:t>
      </w:r>
      <w:r w:rsidRPr="00C86F59">
        <w:t xml:space="preserve"> правонарушениям, связанным с нарушением прав работников предприятий - банкротов.</w:t>
      </w:r>
    </w:p>
    <w:p w:rsidR="00980BE2" w:rsidRPr="00CD5615" w:rsidRDefault="0010301C" w:rsidP="00980BE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</w:pPr>
      <w:r w:rsidRPr="00C86F59">
        <w:t xml:space="preserve">За </w:t>
      </w:r>
      <w:r w:rsidR="00C86F59" w:rsidRPr="00C86F59">
        <w:t xml:space="preserve">9 месяцев </w:t>
      </w:r>
      <w:r w:rsidRPr="00C86F59">
        <w:t xml:space="preserve"> 202</w:t>
      </w:r>
      <w:r w:rsidR="00C86F59" w:rsidRPr="00C86F59">
        <w:t>1</w:t>
      </w:r>
      <w:r w:rsidRPr="00C86F59">
        <w:t xml:space="preserve"> года Управлением </w:t>
      </w:r>
      <w:r w:rsidR="00980BE2">
        <w:t>п</w:t>
      </w:r>
      <w:r w:rsidR="00980BE2" w:rsidRPr="00CD5615">
        <w:t>о результатам проведенных  административных расследований  за истекший период 2021 года в отношении арбитражных управляющих составлено 24 протокола об административных правонарушениях, касающихся прав и интересов работников, бывших работников предприятий, в отношении которых введены процедуры банкротства</w:t>
      </w:r>
      <w:r w:rsidR="00980BE2">
        <w:t>.</w:t>
      </w:r>
      <w:r w:rsidR="00980BE2" w:rsidRPr="00CD5615">
        <w:t xml:space="preserve"> </w:t>
      </w:r>
    </w:p>
    <w:p w:rsidR="00980BE2" w:rsidRPr="00CD5615" w:rsidRDefault="00980BE2" w:rsidP="00980BE2">
      <w:pPr>
        <w:pStyle w:val="20"/>
        <w:spacing w:after="0" w:line="240" w:lineRule="auto"/>
        <w:ind w:left="0" w:firstLine="680"/>
        <w:jc w:val="both"/>
        <w:rPr>
          <w:sz w:val="28"/>
          <w:szCs w:val="28"/>
        </w:rPr>
      </w:pPr>
      <w:r w:rsidRPr="00CD5615">
        <w:rPr>
          <w:sz w:val="28"/>
          <w:szCs w:val="28"/>
        </w:rPr>
        <w:t xml:space="preserve">Из них 6 протоколов об административном правонарушении составлены в связи с неисполнением обязанности, установленной п. 2 ст. 134 Федерального закона от 26.10.2002  № 127-ФЗ «О несостоятельности (банкротстве)» (далее - Закон о банкротстве), в части нарушения очередности удовлетворения текущей задолженности, 18 протоколов об административном правонарушении – в связи с  неисполнением и ненадлежащим исполнением обязанности установленной </w:t>
      </w:r>
      <w:r>
        <w:rPr>
          <w:sz w:val="28"/>
          <w:szCs w:val="28"/>
        </w:rPr>
        <w:t xml:space="preserve">   </w:t>
      </w:r>
      <w:r w:rsidRPr="00CD5615">
        <w:rPr>
          <w:sz w:val="28"/>
          <w:szCs w:val="28"/>
        </w:rPr>
        <w:t>ст. 12.1 Закона о банкротстве,  в части  нарушения сроков проведения собрания работников, бывших работников должника.</w:t>
      </w:r>
    </w:p>
    <w:p w:rsidR="00B95708" w:rsidRDefault="00C86F59" w:rsidP="00F1717F">
      <w:pPr>
        <w:tabs>
          <w:tab w:val="left" w:pos="567"/>
        </w:tabs>
        <w:autoSpaceDE w:val="0"/>
        <w:autoSpaceDN w:val="0"/>
        <w:adjustRightInd w:val="0"/>
        <w:spacing w:after="0"/>
      </w:pPr>
      <w:r w:rsidRPr="00A7762B">
        <w:tab/>
      </w:r>
      <w:r w:rsidR="00B95708" w:rsidRPr="00F1717F">
        <w:t>Таким образом, реализация полномочий по составлению в отношении арбитражных управляющих протоколов об административных правонарушениях направлена на обеспечение соблюдения арбитражными управляющими установленного законом порядка осуществления процедур банкротства, посредством наказания лиц, виновных в совершении правонарушений и предотвращения новых нарушений.</w:t>
      </w:r>
      <w:r w:rsidR="00B95708">
        <w:t xml:space="preserve"> </w:t>
      </w:r>
    </w:p>
    <w:p w:rsidR="00B95708" w:rsidRDefault="00B95708" w:rsidP="00C63B6A">
      <w:pPr>
        <w:tabs>
          <w:tab w:val="left" w:pos="567"/>
        </w:tabs>
        <w:autoSpaceDE w:val="0"/>
        <w:autoSpaceDN w:val="0"/>
        <w:adjustRightInd w:val="0"/>
        <w:spacing w:after="0"/>
      </w:pPr>
    </w:p>
    <w:p w:rsidR="004072DB" w:rsidRDefault="004072DB" w:rsidP="00C63B6A">
      <w:pPr>
        <w:tabs>
          <w:tab w:val="left" w:pos="567"/>
        </w:tabs>
        <w:autoSpaceDE w:val="0"/>
        <w:autoSpaceDN w:val="0"/>
        <w:adjustRightInd w:val="0"/>
        <w:spacing w:after="0"/>
      </w:pPr>
    </w:p>
    <w:p w:rsidR="00BB54D0" w:rsidRDefault="0010301C">
      <w:pPr>
        <w:pStyle w:val="normal"/>
        <w:tabs>
          <w:tab w:val="left" w:pos="567"/>
        </w:tabs>
        <w:spacing w:after="0"/>
      </w:pPr>
      <w:r>
        <w:tab/>
      </w:r>
    </w:p>
    <w:p w:rsidR="00BB54D0" w:rsidRDefault="00BB54D0">
      <w:pPr>
        <w:pStyle w:val="normal"/>
        <w:spacing w:after="0"/>
      </w:pPr>
    </w:p>
    <w:p w:rsidR="00BB54D0" w:rsidRDefault="00BB54D0">
      <w:pPr>
        <w:pStyle w:val="normal"/>
        <w:spacing w:after="0"/>
        <w:ind w:firstLine="709"/>
      </w:pPr>
    </w:p>
    <w:p w:rsidR="00BB54D0" w:rsidRDefault="00BB54D0">
      <w:pPr>
        <w:pStyle w:val="normal"/>
        <w:spacing w:after="0"/>
      </w:pPr>
    </w:p>
    <w:p w:rsidR="00BB54D0" w:rsidRDefault="00BB54D0">
      <w:pPr>
        <w:pStyle w:val="normal"/>
        <w:ind w:firstLine="708"/>
        <w:rPr>
          <w:rFonts w:ascii="Quattrocento Sans" w:eastAsia="Quattrocento Sans" w:hAnsi="Quattrocento Sans" w:cs="Quattrocento Sans"/>
          <w:sz w:val="24"/>
          <w:szCs w:val="24"/>
        </w:rPr>
      </w:pPr>
    </w:p>
    <w:p w:rsidR="00BB54D0" w:rsidRDefault="00BB54D0">
      <w:pPr>
        <w:pStyle w:val="normal"/>
        <w:spacing w:after="0"/>
        <w:ind w:firstLine="709"/>
        <w:rPr>
          <w:color w:val="00B050"/>
        </w:rPr>
      </w:pPr>
    </w:p>
    <w:p w:rsidR="00BB54D0" w:rsidRDefault="00BB54D0">
      <w:pPr>
        <w:pStyle w:val="normal"/>
        <w:spacing w:after="0"/>
        <w:ind w:firstLine="709"/>
        <w:rPr>
          <w:color w:val="00B050"/>
        </w:rPr>
      </w:pPr>
    </w:p>
    <w:sectPr w:rsidR="00BB54D0" w:rsidSect="00BB54D0">
      <w:headerReference w:type="even" r:id="rId6"/>
      <w:headerReference w:type="default" r:id="rId7"/>
      <w:pgSz w:w="11905" w:h="16837"/>
      <w:pgMar w:top="1134" w:right="851" w:bottom="1134" w:left="1701" w:header="709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42" w:rsidRDefault="00AF4A42" w:rsidP="00BB54D0">
      <w:pPr>
        <w:spacing w:after="0"/>
      </w:pPr>
      <w:r>
        <w:separator/>
      </w:r>
    </w:p>
  </w:endnote>
  <w:endnote w:type="continuationSeparator" w:id="1">
    <w:p w:rsidR="00AF4A42" w:rsidRDefault="00AF4A42" w:rsidP="00BB54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42" w:rsidRDefault="00AF4A42" w:rsidP="00BB54D0">
      <w:pPr>
        <w:spacing w:after="0"/>
      </w:pPr>
      <w:r>
        <w:separator/>
      </w:r>
    </w:p>
  </w:footnote>
  <w:footnote w:type="continuationSeparator" w:id="1">
    <w:p w:rsidR="00AF4A42" w:rsidRDefault="00AF4A42" w:rsidP="00BB54D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D0" w:rsidRDefault="00A139A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10301C">
      <w:rPr>
        <w:color w:val="000000"/>
      </w:rPr>
      <w:instrText>PAGE</w:instrText>
    </w:r>
    <w:r>
      <w:rPr>
        <w:color w:val="000000"/>
      </w:rPr>
      <w:fldChar w:fldCharType="end"/>
    </w:r>
  </w:p>
  <w:p w:rsidR="00BB54D0" w:rsidRDefault="00BB54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D0" w:rsidRDefault="00A139A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10301C">
      <w:rPr>
        <w:color w:val="000000"/>
      </w:rPr>
      <w:instrText>PAGE</w:instrText>
    </w:r>
    <w:r>
      <w:rPr>
        <w:color w:val="000000"/>
      </w:rPr>
      <w:fldChar w:fldCharType="separate"/>
    </w:r>
    <w:r w:rsidR="00F1717F">
      <w:rPr>
        <w:noProof/>
        <w:color w:val="000000"/>
      </w:rPr>
      <w:t>2</w:t>
    </w:r>
    <w:r>
      <w:rPr>
        <w:color w:val="000000"/>
      </w:rPr>
      <w:fldChar w:fldCharType="end"/>
    </w:r>
  </w:p>
  <w:p w:rsidR="00BB54D0" w:rsidRDefault="0010301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02"/>
      </w:tabs>
      <w:spacing w:after="0"/>
      <w:rPr>
        <w:color w:val="000000"/>
      </w:rPr>
    </w:pPr>
    <w:r>
      <w:rPr>
        <w:color w:val="000000"/>
      </w:rPr>
      <w:tab/>
    </w:r>
    <w:r w:rsidR="00A139AC" w:rsidRPr="00A139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26.85pt;margin-top:.05pt;width:13.95pt;height:16pt;z-index:251657728;mso-wrap-distance-left:0;mso-wrap-distance-right:0;mso-position-horizontal-relative:margin;mso-position-vertical-relative:text" stroked="f">
          <v:fill opacity="0" color2="black" angle="180"/>
          <v:textbox style="mso-next-textbox:#_x0000_s2049" inset="0,0,0,0">
            <w:txbxContent>
              <w:p w:rsidR="00CE316B" w:rsidRPr="004E2701" w:rsidRDefault="00AF4A42" w:rsidP="004E2701">
                <w:pPr>
                  <w:pStyle w:val="normal"/>
                </w:pPr>
              </w:p>
            </w:txbxContent>
          </v:textbox>
          <w10:wrap type="square" side="largest" anchorx="margin"/>
        </v:shape>
      </w:pict>
    </w:r>
  </w:p>
  <w:p w:rsidR="00BB54D0" w:rsidRDefault="00BB54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02"/>
      </w:tabs>
      <w:spacing w:after="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4D0"/>
    <w:rsid w:val="000B0A82"/>
    <w:rsid w:val="000E572B"/>
    <w:rsid w:val="0010301C"/>
    <w:rsid w:val="002012D2"/>
    <w:rsid w:val="00247206"/>
    <w:rsid w:val="00347DC5"/>
    <w:rsid w:val="003573C0"/>
    <w:rsid w:val="003F3306"/>
    <w:rsid w:val="004072DB"/>
    <w:rsid w:val="0045669E"/>
    <w:rsid w:val="0071354A"/>
    <w:rsid w:val="00724D00"/>
    <w:rsid w:val="00877642"/>
    <w:rsid w:val="00980BE2"/>
    <w:rsid w:val="00A139AC"/>
    <w:rsid w:val="00A24EE4"/>
    <w:rsid w:val="00A7762B"/>
    <w:rsid w:val="00AF4A42"/>
    <w:rsid w:val="00B5253C"/>
    <w:rsid w:val="00B94ED4"/>
    <w:rsid w:val="00B95708"/>
    <w:rsid w:val="00BB54D0"/>
    <w:rsid w:val="00C03093"/>
    <w:rsid w:val="00C63B6A"/>
    <w:rsid w:val="00C86F59"/>
    <w:rsid w:val="00DD14FF"/>
    <w:rsid w:val="00EC0441"/>
    <w:rsid w:val="00ED057A"/>
    <w:rsid w:val="00F1717F"/>
    <w:rsid w:val="00F76081"/>
    <w:rsid w:val="00FA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1"/>
  </w:style>
  <w:style w:type="paragraph" w:styleId="1">
    <w:name w:val="heading 1"/>
    <w:basedOn w:val="normal"/>
    <w:next w:val="normal"/>
    <w:rsid w:val="00BB54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B54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B54D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BB54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B54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B54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54D0"/>
  </w:style>
  <w:style w:type="table" w:customStyle="1" w:styleId="TableNormal">
    <w:name w:val="Table Normal"/>
    <w:rsid w:val="00BB54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B54D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B54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0">
    <w:name w:val="Body Text Indent 2"/>
    <w:basedOn w:val="a"/>
    <w:link w:val="21"/>
    <w:uiPriority w:val="99"/>
    <w:unhideWhenUsed/>
    <w:rsid w:val="00980BE2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80B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Чернавских Екатерина Борисовна</dc:creator>
  <cp:lastModifiedBy>ЧернавскихЕБ</cp:lastModifiedBy>
  <cp:revision>13</cp:revision>
  <dcterms:created xsi:type="dcterms:W3CDTF">2020-11-11T07:40:00Z</dcterms:created>
  <dcterms:modified xsi:type="dcterms:W3CDTF">2021-10-26T12:06:00Z</dcterms:modified>
</cp:coreProperties>
</file>