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9682" w14:textId="77777777" w:rsidR="006957BB" w:rsidRPr="006957BB" w:rsidRDefault="006957BB" w:rsidP="006957BB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6957BB">
        <w:rPr>
          <w:rFonts w:ascii="Liberation Serif" w:eastAsia="Calibri" w:hAnsi="Liberation Serif" w:cs="Times New Roman"/>
          <w:b/>
          <w:sz w:val="28"/>
          <w:szCs w:val="28"/>
        </w:rPr>
        <w:t>Порядок отнесения объектов контроля к категориям риска</w:t>
      </w:r>
    </w:p>
    <w:p w14:paraId="7AB6D1A4" w14:textId="77777777" w:rsidR="006957BB" w:rsidRDefault="006957BB" w:rsidP="006268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14:paraId="2AE2C394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Для целей управления рисками причинения вреда (ущерба) охраняемым законом ценностям при осуществлении муниципального жилищного контроля уполномоченный орган относит объекты контроля к одной из следующих категорий риска причинения вреда (ущерба) охраняемым законом ценностям (далее – категории риска):</w:t>
      </w:r>
    </w:p>
    <w:p w14:paraId="5875D670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1) значительный риск;</w:t>
      </w:r>
    </w:p>
    <w:p w14:paraId="3BB06014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2) средний риск;</w:t>
      </w:r>
    </w:p>
    <w:p w14:paraId="7862AD7D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3) умеренный риск;</w:t>
      </w:r>
    </w:p>
    <w:p w14:paraId="7CA68686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4) низкий риск.</w:t>
      </w:r>
    </w:p>
    <w:p w14:paraId="1B83B519" w14:textId="1C42CAE0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Отнесение объекта контроля к определенной категории риска и изменение присвоенной объекту контроля категории риска осуществляются уполномоченным органом на основе сопоставления его характеристик с критериями отнесения объектов контроля к категории риска (далее – критерии риска).</w:t>
      </w:r>
    </w:p>
    <w:p w14:paraId="26C741A5" w14:textId="496DBFE1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Отнесение объекта контроля к определенной категории риска и изменение присвоенной объекту контроля категории риска осуществляются уполномоченным органом на основании решения руководителя (заместителя руководителя) уполномоченного органа.</w:t>
      </w:r>
    </w:p>
    <w:p w14:paraId="452E2E4F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Решение об отнесении объекта контроля к определенной категории риска или об изменении присвоенной объекту контроля категории риска принимаются в течение пяти рабочих дней со дня поступления в уполномоченный орган сведений о соответствии объекта контроля критериям определенной категории риска.</w:t>
      </w:r>
    </w:p>
    <w:p w14:paraId="17B35E99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Решение по результатам рассмотрения заявления контролируемого лица об изменении категории риска осуществляемой им деятельности принимается уполномоченным органом в течение пяти рабочих дней со дня поступления указанного заявления.</w:t>
      </w:r>
    </w:p>
    <w:p w14:paraId="5740DB83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Перечень объектов контроля размещается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установленном Правительством Российской Федерации.</w:t>
      </w:r>
    </w:p>
    <w:p w14:paraId="6E3218D0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Уполномоченный орган обеспечивает внесение изменений в перечень объектов контроля в течение пяти рабочих дней со дня принятия решения об отнесении объекта контроля к определенной категории риска или об изменении присвоенной объекту контроля категории риска.</w:t>
      </w:r>
    </w:p>
    <w:p w14:paraId="12EED6CE" w14:textId="1266F6AE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По тяжести и масштабу потенциальных негативных последствий несоблюдения контролируемыми лицами обязательных требований деятельность контролируемых лиц разделяется на группы тяжести «А» и «Б».</w:t>
      </w:r>
    </w:p>
    <w:p w14:paraId="6FB35E65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 xml:space="preserve">К группе тяжести «А» относится деятельность контролируемых лиц </w:t>
      </w:r>
    </w:p>
    <w:p w14:paraId="4F39466C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 xml:space="preserve">по управлению многоквартирными домами, оказанию услуг и (или) выполнению работ по содержанию и ремонту общего имущества в многоквартирных домах, оборудованных лифтами и (или) централизованной системой газоснабжения, в том числе многоквартирных домов, в которых для </w:t>
      </w:r>
      <w:r w:rsidRPr="00280568">
        <w:rPr>
          <w:rFonts w:ascii="Liberation Serif" w:eastAsia="Calibri" w:hAnsi="Liberation Serif" w:cs="Times New Roman"/>
          <w:sz w:val="28"/>
          <w:szCs w:val="28"/>
        </w:rPr>
        <w:lastRenderedPageBreak/>
        <w:t>производства услуг по горячему водоснабжению и (или) теплоснабжению используется газ.</w:t>
      </w:r>
    </w:p>
    <w:p w14:paraId="634F6F47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В иных случаях деятельность контролируемых лиц относится к группе тяжести «Б».</w:t>
      </w:r>
    </w:p>
    <w:p w14:paraId="796CF305" w14:textId="13121FD2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С учетом оценки вероятности несоблюдения контролируемыми лицами обязательных требований деятельность контролируемых лиц разделяется на группы вероятности «1» и «2».</w:t>
      </w:r>
    </w:p>
    <w:p w14:paraId="0D69D1F6" w14:textId="395B6E04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К группе вероятности «1» относится деятельность контролируемых лиц при наличии вступившего в законную силу в течение последних трех лет на дату принятия решения об отнесении объекта контроля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статьями 7.21 – 7.23, частью 1 статьи 7.23.2, статьями 7.23.3, 9.5.1, статьей 9.13 (в части уклонения от исполнения требований к обеспечению доступности для инвалидов объектов жилищного фонда), частями 4, 5 и частью 12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частями 1 – 4 статьи 9.23, частью 1 статьи 13.19.2 Кодекса Российской Федерации об административных правонарушениях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домов).</w:t>
      </w:r>
    </w:p>
    <w:p w14:paraId="2FA88BB5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К группе вероятности «2» относится деятельность контролируемых лиц, не отнесенных к группе вероятности «1».</w:t>
      </w:r>
    </w:p>
    <w:p w14:paraId="70046136" w14:textId="0398682C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80568">
        <w:rPr>
          <w:rFonts w:ascii="Liberation Serif" w:eastAsia="Calibri" w:hAnsi="Liberation Serif" w:cs="Times New Roman"/>
          <w:sz w:val="28"/>
          <w:szCs w:val="28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 (таблица).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115"/>
        <w:gridCol w:w="3115"/>
        <w:gridCol w:w="3404"/>
      </w:tblGrid>
      <w:tr w:rsidR="00280568" w:rsidRPr="00280568" w14:paraId="3EE1F384" w14:textId="77777777" w:rsidTr="00175DB8">
        <w:tc>
          <w:tcPr>
            <w:tcW w:w="3115" w:type="dxa"/>
          </w:tcPr>
          <w:p w14:paraId="12FEF7B3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Категория риска</w:t>
            </w:r>
          </w:p>
        </w:tc>
        <w:tc>
          <w:tcPr>
            <w:tcW w:w="3115" w:type="dxa"/>
          </w:tcPr>
          <w:p w14:paraId="5A713DD5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Группа тяжести</w:t>
            </w:r>
          </w:p>
        </w:tc>
        <w:tc>
          <w:tcPr>
            <w:tcW w:w="3404" w:type="dxa"/>
          </w:tcPr>
          <w:p w14:paraId="455DE9DF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Группа вероятности</w:t>
            </w:r>
          </w:p>
        </w:tc>
      </w:tr>
      <w:tr w:rsidR="00280568" w:rsidRPr="00280568" w14:paraId="4B2D3604" w14:textId="77777777" w:rsidTr="00175DB8">
        <w:tc>
          <w:tcPr>
            <w:tcW w:w="3115" w:type="dxa"/>
          </w:tcPr>
          <w:p w14:paraId="7D47F12E" w14:textId="77777777" w:rsidR="00280568" w:rsidRPr="00280568" w:rsidRDefault="00280568" w:rsidP="00280568">
            <w:pPr>
              <w:widowControl w:val="0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Значительный</w:t>
            </w:r>
          </w:p>
        </w:tc>
        <w:tc>
          <w:tcPr>
            <w:tcW w:w="3115" w:type="dxa"/>
          </w:tcPr>
          <w:p w14:paraId="4BFC76EF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А</w:t>
            </w:r>
          </w:p>
        </w:tc>
        <w:tc>
          <w:tcPr>
            <w:tcW w:w="3404" w:type="dxa"/>
          </w:tcPr>
          <w:p w14:paraId="2F6B872A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</w:tr>
      <w:tr w:rsidR="00280568" w:rsidRPr="00280568" w14:paraId="21D51843" w14:textId="77777777" w:rsidTr="00175DB8">
        <w:tc>
          <w:tcPr>
            <w:tcW w:w="3115" w:type="dxa"/>
          </w:tcPr>
          <w:p w14:paraId="207E168A" w14:textId="77777777" w:rsidR="00280568" w:rsidRPr="00280568" w:rsidRDefault="00280568" w:rsidP="00280568">
            <w:pPr>
              <w:widowControl w:val="0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Средний</w:t>
            </w:r>
          </w:p>
        </w:tc>
        <w:tc>
          <w:tcPr>
            <w:tcW w:w="3115" w:type="dxa"/>
          </w:tcPr>
          <w:p w14:paraId="203372DE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А</w:t>
            </w:r>
          </w:p>
        </w:tc>
        <w:tc>
          <w:tcPr>
            <w:tcW w:w="3404" w:type="dxa"/>
          </w:tcPr>
          <w:p w14:paraId="70CA741B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2</w:t>
            </w:r>
          </w:p>
        </w:tc>
      </w:tr>
      <w:tr w:rsidR="00280568" w:rsidRPr="00280568" w14:paraId="20FFA695" w14:textId="77777777" w:rsidTr="00175DB8">
        <w:tc>
          <w:tcPr>
            <w:tcW w:w="3115" w:type="dxa"/>
          </w:tcPr>
          <w:p w14:paraId="07107DE9" w14:textId="77777777" w:rsidR="00280568" w:rsidRPr="00280568" w:rsidRDefault="00280568" w:rsidP="00280568">
            <w:pPr>
              <w:widowControl w:val="0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Умеренный</w:t>
            </w:r>
          </w:p>
        </w:tc>
        <w:tc>
          <w:tcPr>
            <w:tcW w:w="3115" w:type="dxa"/>
          </w:tcPr>
          <w:p w14:paraId="1EBB16A2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Б</w:t>
            </w:r>
          </w:p>
        </w:tc>
        <w:tc>
          <w:tcPr>
            <w:tcW w:w="3404" w:type="dxa"/>
          </w:tcPr>
          <w:p w14:paraId="0A60072B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</w:tr>
      <w:tr w:rsidR="00280568" w:rsidRPr="00280568" w14:paraId="0EC24A40" w14:textId="77777777" w:rsidTr="00175DB8">
        <w:tc>
          <w:tcPr>
            <w:tcW w:w="3115" w:type="dxa"/>
          </w:tcPr>
          <w:p w14:paraId="0AA6712F" w14:textId="77777777" w:rsidR="00280568" w:rsidRPr="00280568" w:rsidRDefault="00280568" w:rsidP="00280568">
            <w:pPr>
              <w:widowControl w:val="0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Низкий</w:t>
            </w:r>
          </w:p>
        </w:tc>
        <w:tc>
          <w:tcPr>
            <w:tcW w:w="3115" w:type="dxa"/>
          </w:tcPr>
          <w:p w14:paraId="2E50BD64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Б</w:t>
            </w:r>
          </w:p>
        </w:tc>
        <w:tc>
          <w:tcPr>
            <w:tcW w:w="3404" w:type="dxa"/>
          </w:tcPr>
          <w:p w14:paraId="6A7E6A56" w14:textId="77777777" w:rsidR="00280568" w:rsidRPr="00280568" w:rsidRDefault="00280568" w:rsidP="00280568">
            <w:pPr>
              <w:widowControl w:val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280568">
              <w:rPr>
                <w:rFonts w:eastAsia="Calibri" w:cs="Times New Roman"/>
                <w:color w:val="000000"/>
                <w:szCs w:val="24"/>
              </w:rPr>
              <w:t>2</w:t>
            </w:r>
          </w:p>
        </w:tc>
      </w:tr>
    </w:tbl>
    <w:p w14:paraId="2BD7970D" w14:textId="77777777" w:rsidR="00280568" w:rsidRPr="00280568" w:rsidRDefault="00280568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14:paraId="78F7D6E3" w14:textId="3D81D691" w:rsidR="00C00B19" w:rsidRPr="002F1BCC" w:rsidRDefault="002F1BCC" w:rsidP="00280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A425C">
        <w:rPr>
          <w:rFonts w:ascii="Liberation Serif" w:eastAsia="Calibri" w:hAnsi="Liberation Serif" w:cs="Times New Roman"/>
          <w:sz w:val="28"/>
          <w:szCs w:val="28"/>
        </w:rPr>
        <w:t xml:space="preserve">К категории низкого риска относятся объекты контроля, не отнесенные к категориям </w:t>
      </w:r>
      <w:r w:rsidR="00280568">
        <w:rPr>
          <w:rFonts w:ascii="Liberation Serif" w:eastAsia="Calibri" w:hAnsi="Liberation Serif" w:cs="Times New Roman"/>
          <w:sz w:val="28"/>
          <w:szCs w:val="28"/>
        </w:rPr>
        <w:t>значительного,</w:t>
      </w:r>
      <w:r w:rsidRPr="005A425C">
        <w:rPr>
          <w:rFonts w:ascii="Liberation Serif" w:eastAsia="Calibri" w:hAnsi="Liberation Serif" w:cs="Times New Roman"/>
          <w:sz w:val="28"/>
          <w:szCs w:val="28"/>
        </w:rPr>
        <w:t xml:space="preserve"> среднего </w:t>
      </w:r>
      <w:r w:rsidR="00280568">
        <w:rPr>
          <w:rFonts w:ascii="Liberation Serif" w:eastAsia="Calibri" w:hAnsi="Liberation Serif" w:cs="Times New Roman"/>
          <w:sz w:val="28"/>
          <w:szCs w:val="28"/>
        </w:rPr>
        <w:t xml:space="preserve">или умеренного </w:t>
      </w:r>
      <w:r w:rsidRPr="005A425C">
        <w:rPr>
          <w:rFonts w:ascii="Liberation Serif" w:eastAsia="Calibri" w:hAnsi="Liberation Serif" w:cs="Times New Roman"/>
          <w:sz w:val="28"/>
          <w:szCs w:val="28"/>
        </w:rPr>
        <w:t>риска.</w:t>
      </w:r>
    </w:p>
    <w:sectPr w:rsidR="00C00B19" w:rsidRPr="002F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FF"/>
    <w:rsid w:val="00280568"/>
    <w:rsid w:val="002F1BCC"/>
    <w:rsid w:val="00626891"/>
    <w:rsid w:val="006957BB"/>
    <w:rsid w:val="00914CFF"/>
    <w:rsid w:val="00C0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557F"/>
  <w15:chartTrackingRefBased/>
  <w15:docId w15:val="{0C104B34-2896-48A8-9AA7-961F1B8D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91"/>
    <w:pPr>
      <w:ind w:left="720"/>
      <w:contextualSpacing/>
    </w:pPr>
  </w:style>
  <w:style w:type="table" w:styleId="a4">
    <w:name w:val="Table Grid"/>
    <w:basedOn w:val="a1"/>
    <w:uiPriority w:val="39"/>
    <w:rsid w:val="00280568"/>
    <w:pPr>
      <w:spacing w:after="0" w:line="240" w:lineRule="auto"/>
    </w:pPr>
    <w:rPr>
      <w:rFonts w:ascii="Liberation Serif" w:hAnsi="Liberation Serif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Валерьевна</dc:creator>
  <cp:keywords/>
  <dc:description/>
  <cp:lastModifiedBy>Морозова Наталья Валерьевна</cp:lastModifiedBy>
  <cp:revision>5</cp:revision>
  <dcterms:created xsi:type="dcterms:W3CDTF">2021-11-18T10:09:00Z</dcterms:created>
  <dcterms:modified xsi:type="dcterms:W3CDTF">2025-08-19T13:47:00Z</dcterms:modified>
</cp:coreProperties>
</file>