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54D0" w:rsidRDefault="0010301C">
      <w:pPr>
        <w:pStyle w:val="normal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 О К Л А Д</w:t>
      </w:r>
    </w:p>
    <w:p w:rsidR="00BB54D0" w:rsidRDefault="0010301C">
      <w:pPr>
        <w:pStyle w:val="normal"/>
        <w:spacing w:after="0"/>
        <w:jc w:val="center"/>
        <w:rPr>
          <w:b/>
          <w:color w:val="000000"/>
          <w:sz w:val="32"/>
          <w:szCs w:val="32"/>
        </w:rPr>
      </w:pPr>
      <w:r>
        <w:t>«Правоприменительная практика Управления Росреестра по Свердловской области  в сфере привлечения арбитражных управляющих к административной ответственности»</w:t>
      </w:r>
    </w:p>
    <w:p w:rsidR="00BB54D0" w:rsidRDefault="00BB54D0">
      <w:pPr>
        <w:pStyle w:val="normal"/>
        <w:spacing w:after="0"/>
        <w:jc w:val="center"/>
        <w:rPr>
          <w:b/>
          <w:color w:val="000000"/>
          <w:sz w:val="32"/>
          <w:szCs w:val="32"/>
        </w:rPr>
      </w:pPr>
    </w:p>
    <w:p w:rsidR="00BB54D0" w:rsidRDefault="00441F22">
      <w:pPr>
        <w:pStyle w:val="normal"/>
        <w:spacing w:after="0"/>
        <w:ind w:firstLine="567"/>
        <w:rPr>
          <w:color w:val="000000"/>
        </w:rPr>
      </w:pPr>
      <w:r>
        <w:t>Т</w:t>
      </w:r>
      <w:r w:rsidR="0010301C">
        <w:t xml:space="preserve">ерриториальным органам </w:t>
      </w:r>
      <w:r>
        <w:t xml:space="preserve">Росреестра в соответствии с п. 10 ч. 2 ст. 28.3 Кодекса Российской Федерации об административных правонарушениях </w:t>
      </w:r>
      <w:r w:rsidR="0010301C">
        <w:t>предоставлены полномочия по возбуждению в отношении арбитражных управляющих дел об административных правонарушениях, предусмотренных ч.</w:t>
      </w:r>
      <w:r>
        <w:t xml:space="preserve"> </w:t>
      </w:r>
      <w:r w:rsidR="0010301C">
        <w:t>3, ч. 3.1 ст. 14.13 КоАП РФ, в связи с неисполнением обязанностей, установленных законодательством о несостоятельности (банкротстве), если такое действие (бездействие) не содержит уголовно наказуемого деяния.</w:t>
      </w:r>
    </w:p>
    <w:p w:rsidR="00BB54D0" w:rsidRPr="00441F22" w:rsidRDefault="0010301C" w:rsidP="00441F22">
      <w:pPr>
        <w:pStyle w:val="normal"/>
        <w:spacing w:after="0"/>
        <w:ind w:firstLine="567"/>
      </w:pPr>
      <w:r w:rsidRPr="00441F22">
        <w:t>В рамках реализации указанных</w:t>
      </w:r>
      <w:r>
        <w:t xml:space="preserve"> полномочий</w:t>
      </w:r>
      <w:r w:rsidRPr="00441F22">
        <w:t xml:space="preserve"> должностными лицами Управления за </w:t>
      </w:r>
      <w:r w:rsidRPr="003F3306">
        <w:t>9 месяцев 202</w:t>
      </w:r>
      <w:r w:rsidR="00D90DE8">
        <w:t>3</w:t>
      </w:r>
      <w:r w:rsidRPr="00441F22">
        <w:t xml:space="preserve"> года по результатам рассмотрения поступ</w:t>
      </w:r>
      <w:r w:rsidR="00247206" w:rsidRPr="00441F22">
        <w:t>ивших</w:t>
      </w:r>
      <w:r w:rsidRPr="00441F22">
        <w:t xml:space="preserve"> обращений возбуждено </w:t>
      </w:r>
      <w:r w:rsidR="00D90DE8" w:rsidRPr="00441F22">
        <w:t>197</w:t>
      </w:r>
      <w:r w:rsidRPr="004E1B59">
        <w:t xml:space="preserve"> дел об административных правонарушениях. По результатам административного расследования вынесено </w:t>
      </w:r>
      <w:r w:rsidR="00D90DE8">
        <w:t>55</w:t>
      </w:r>
      <w:r w:rsidRPr="004E1B59">
        <w:t xml:space="preserve"> постановлени</w:t>
      </w:r>
      <w:r w:rsidR="004E1B59" w:rsidRPr="004E1B59">
        <w:t>й</w:t>
      </w:r>
      <w:r w:rsidRPr="004E1B59">
        <w:t xml:space="preserve"> о прекращении производства по делу об административном правонарушении, составлено </w:t>
      </w:r>
      <w:r w:rsidR="00D90DE8">
        <w:t>145</w:t>
      </w:r>
      <w:r w:rsidRPr="00441F22">
        <w:t xml:space="preserve"> протокол</w:t>
      </w:r>
      <w:r w:rsidR="00441F22">
        <w:t>ов</w:t>
      </w:r>
      <w:r w:rsidRPr="00441F22">
        <w:t xml:space="preserve"> об административных правонарушениях. </w:t>
      </w:r>
    </w:p>
    <w:p w:rsidR="00BB54D0" w:rsidRPr="00C1395A" w:rsidRDefault="0010301C" w:rsidP="00441F22">
      <w:pPr>
        <w:pStyle w:val="normal"/>
        <w:spacing w:after="0"/>
        <w:ind w:firstLine="567"/>
      </w:pPr>
      <w:r w:rsidRPr="00C1395A">
        <w:t xml:space="preserve">По результатам рассмотрения заявлений Управления арбитражным судом вынесено </w:t>
      </w:r>
      <w:r w:rsidR="0073095F" w:rsidRPr="00C1395A">
        <w:t>15</w:t>
      </w:r>
      <w:r w:rsidRPr="00C1395A">
        <w:t xml:space="preserve"> решени</w:t>
      </w:r>
      <w:r w:rsidR="0073095F" w:rsidRPr="00C1395A">
        <w:t>й</w:t>
      </w:r>
      <w:r w:rsidRPr="00C1395A">
        <w:t xml:space="preserve"> о назначении административного наказания в виде предупреждения, </w:t>
      </w:r>
      <w:r w:rsidR="0073095F" w:rsidRPr="00C1395A">
        <w:t>15</w:t>
      </w:r>
      <w:r w:rsidRPr="00C1395A">
        <w:t xml:space="preserve"> решени</w:t>
      </w:r>
      <w:r w:rsidR="0073095F" w:rsidRPr="00C1395A">
        <w:t>й</w:t>
      </w:r>
      <w:r w:rsidRPr="00C1395A">
        <w:t xml:space="preserve"> о наложении </w:t>
      </w:r>
      <w:r w:rsidR="00441F22">
        <w:t xml:space="preserve">административных </w:t>
      </w:r>
      <w:r w:rsidRPr="00C1395A">
        <w:t xml:space="preserve">штрафов, по </w:t>
      </w:r>
      <w:r w:rsidR="0073095F" w:rsidRPr="00C1395A">
        <w:t>9</w:t>
      </w:r>
      <w:r w:rsidR="004E1B59" w:rsidRPr="00C1395A">
        <w:t>7</w:t>
      </w:r>
      <w:r w:rsidRPr="00C1395A">
        <w:t xml:space="preserve"> делам об административных правонарушениях </w:t>
      </w:r>
      <w:r w:rsidR="00247206" w:rsidRPr="00C1395A">
        <w:t>арбитражные управляющие освобождены от административной ответственности</w:t>
      </w:r>
      <w:r w:rsidR="00441F22">
        <w:t>,</w:t>
      </w:r>
      <w:r w:rsidRPr="00C1395A">
        <w:t xml:space="preserve"> в связи с малозначительностью деяния и вынесением устного замечания (статья 2.9 КоАП РФ). </w:t>
      </w:r>
      <w:r w:rsidR="0073095F" w:rsidRPr="00C1395A">
        <w:t xml:space="preserve">7 </w:t>
      </w:r>
      <w:r w:rsidRPr="00C1395A">
        <w:t>арбитражн</w:t>
      </w:r>
      <w:r w:rsidR="003F3306" w:rsidRPr="00C1395A">
        <w:t>ы</w:t>
      </w:r>
      <w:r w:rsidR="0073095F" w:rsidRPr="00C1395A">
        <w:t>х</w:t>
      </w:r>
      <w:r w:rsidRPr="00C1395A">
        <w:t xml:space="preserve"> управляющ</w:t>
      </w:r>
      <w:r w:rsidR="003F3306" w:rsidRPr="00C1395A">
        <w:t>и</w:t>
      </w:r>
      <w:r w:rsidR="0073095F" w:rsidRPr="00C1395A">
        <w:t>х привлечены к административной ответственности и им</w:t>
      </w:r>
      <w:r w:rsidRPr="00C1395A">
        <w:t xml:space="preserve"> назначено наказание в виде дисквалификации на </w:t>
      </w:r>
      <w:r w:rsidR="003F3306" w:rsidRPr="00C1395A">
        <w:t xml:space="preserve">срок </w:t>
      </w:r>
      <w:r w:rsidRPr="00C1395A">
        <w:t xml:space="preserve">6 месяцев. </w:t>
      </w:r>
    </w:p>
    <w:p w:rsidR="00D90DE8" w:rsidRPr="00441F22" w:rsidRDefault="00D90DE8" w:rsidP="00441F22">
      <w:pPr>
        <w:pStyle w:val="normal"/>
        <w:spacing w:after="0"/>
        <w:ind w:firstLine="567"/>
      </w:pPr>
      <w:r w:rsidRPr="00441F22">
        <w:t xml:space="preserve">Достаточно распространенными нарушениями </w:t>
      </w:r>
      <w:r w:rsidR="00441F22">
        <w:t xml:space="preserve">среди арбитражных управляющих </w:t>
      </w:r>
      <w:r w:rsidRPr="00441F22">
        <w:t>являются: нарушения при проведении торгов</w:t>
      </w:r>
      <w:r w:rsidR="00441F22">
        <w:t xml:space="preserve"> имуществом должников-банкротов</w:t>
      </w:r>
      <w:r w:rsidRPr="00441F22">
        <w:t>, непринятие мер, направленных на поиск, выявление и возврат имущества должника, находящегося у третьих лиц в конкурсную массу.</w:t>
      </w:r>
    </w:p>
    <w:p w:rsidR="00D90DE8" w:rsidRPr="00441F22" w:rsidRDefault="00D90DE8" w:rsidP="00441F22">
      <w:pPr>
        <w:pStyle w:val="normal"/>
        <w:spacing w:after="0"/>
        <w:ind w:firstLine="567"/>
      </w:pPr>
      <w:r w:rsidRPr="00441F22">
        <w:t xml:space="preserve">Кроме того, в ходе проведения административных расследований в деятельности арбитражных управляющих достаточно часто выявляются </w:t>
      </w:r>
      <w:r w:rsidR="00441F22">
        <w:t xml:space="preserve">нарушения, виду </w:t>
      </w:r>
      <w:r w:rsidRPr="00441F22">
        <w:t>несоблюдени</w:t>
      </w:r>
      <w:r w:rsidR="00441F22">
        <w:t>я</w:t>
      </w:r>
      <w:r w:rsidRPr="00441F22">
        <w:t xml:space="preserve"> сроков проведения инвентаризации и порядка реализации имущества должника, порядка распределения денежных средств должника, порядка и периодичности проведения </w:t>
      </w:r>
      <w:r w:rsidR="00441F22">
        <w:t xml:space="preserve">собраний </w:t>
      </w:r>
      <w:r w:rsidRPr="00441F22">
        <w:t xml:space="preserve"> </w:t>
      </w:r>
      <w:r w:rsidR="00441F22">
        <w:t>кредиторов и собраний</w:t>
      </w:r>
      <w:r w:rsidRPr="00441F22">
        <w:t xml:space="preserve"> работников </w:t>
      </w:r>
      <w:r w:rsidR="00441F22">
        <w:t xml:space="preserve">(бывших работников) </w:t>
      </w:r>
      <w:r w:rsidRPr="00441F22">
        <w:t xml:space="preserve">должника, несоблюдение порядка ведения реестра требований кредиторов, сроков представления собранию кредиторов положения о порядке, сроках и условиях продажи имущества должника.  </w:t>
      </w:r>
    </w:p>
    <w:p w:rsidR="00D90DE8" w:rsidRPr="00441F22" w:rsidRDefault="00D90DE8" w:rsidP="00441F22">
      <w:pPr>
        <w:pStyle w:val="normal"/>
        <w:spacing w:after="0"/>
        <w:ind w:firstLine="567"/>
      </w:pPr>
      <w:r w:rsidRPr="00441F22">
        <w:lastRenderedPageBreak/>
        <w:t>Наряду с вышеперечисленным, арбитражными управляющими нарушаются требования: об опубликовании сведений о признании действий арбитражных управляющих незаконными в рамках процедур банкротства, а также признаков преднамеренного или фиктивного банкротства граждан</w:t>
      </w:r>
      <w:r w:rsidR="00441F22">
        <w:t xml:space="preserve"> и ИП</w:t>
      </w:r>
      <w:r w:rsidRPr="00441F22">
        <w:t>, сроки опубликования сообщений о проведении собрания кредиторов и сведений о результатах проведения собрания кредиторов (заседания комитета кредиторов) или о признании их несостоявшимися, сроки опубликования сведений о получении арбитражным управляющим требований кредиторов о включении в реестр.</w:t>
      </w:r>
    </w:p>
    <w:p w:rsidR="00C63B6A" w:rsidRPr="00C1395A" w:rsidRDefault="0010301C" w:rsidP="00441F22">
      <w:pPr>
        <w:pStyle w:val="normal"/>
        <w:spacing w:after="0"/>
        <w:ind w:firstLine="567"/>
      </w:pPr>
      <w:r w:rsidRPr="00C1395A">
        <w:t>Особое внимание</w:t>
      </w:r>
      <w:r w:rsidR="00C63B6A" w:rsidRPr="00C1395A">
        <w:t xml:space="preserve"> </w:t>
      </w:r>
      <w:r w:rsidRPr="00C1395A">
        <w:t>удел</w:t>
      </w:r>
      <w:r w:rsidR="00C63B6A" w:rsidRPr="00C1395A">
        <w:t>яется</w:t>
      </w:r>
      <w:r w:rsidRPr="00C1395A">
        <w:t xml:space="preserve"> правонарушениям, связанным с нарушением прав работников предприятий - банкротов.</w:t>
      </w:r>
    </w:p>
    <w:p w:rsidR="003C56E8" w:rsidRPr="00C1395A" w:rsidRDefault="003C56E8" w:rsidP="00441F22">
      <w:pPr>
        <w:pStyle w:val="normal"/>
        <w:spacing w:after="0"/>
        <w:ind w:firstLine="567"/>
      </w:pPr>
      <w:r w:rsidRPr="00C1395A">
        <w:t>По результатам проведенных Управлением административных расследований за истекший период 202</w:t>
      </w:r>
      <w:r w:rsidR="00C1395A" w:rsidRPr="00C1395A">
        <w:t>3</w:t>
      </w:r>
      <w:r w:rsidRPr="00C1395A">
        <w:t xml:space="preserve"> года в отношении арбитражных управляющих составлено </w:t>
      </w:r>
      <w:r w:rsidR="00C1395A" w:rsidRPr="00C1395A">
        <w:t>7</w:t>
      </w:r>
      <w:r w:rsidRPr="00C1395A">
        <w:t xml:space="preserve"> протоколов об административных правонарушениях, касающихся прав и интересов работников, бывших работников предприятий, в отношении которых введены процедуры банкротства. </w:t>
      </w:r>
    </w:p>
    <w:p w:rsidR="00620898" w:rsidRPr="00C1395A" w:rsidRDefault="00441F22" w:rsidP="00441F22">
      <w:pPr>
        <w:pStyle w:val="normal"/>
        <w:spacing w:after="0"/>
        <w:ind w:firstLine="567"/>
      </w:pPr>
      <w:r>
        <w:t>П</w:t>
      </w:r>
      <w:r w:rsidR="003C56E8" w:rsidRPr="00C1395A">
        <w:t>ротокол</w:t>
      </w:r>
      <w:r>
        <w:t>ы</w:t>
      </w:r>
      <w:r w:rsidR="003C56E8" w:rsidRPr="00C1395A">
        <w:t xml:space="preserve"> об административн</w:t>
      </w:r>
      <w:r>
        <w:t>ых</w:t>
      </w:r>
      <w:r w:rsidR="003C56E8" w:rsidRPr="00C1395A">
        <w:t xml:space="preserve"> правонарушени</w:t>
      </w:r>
      <w:r>
        <w:t xml:space="preserve">ях были </w:t>
      </w:r>
      <w:r w:rsidR="003C56E8" w:rsidRPr="00C1395A">
        <w:t>составлен</w:t>
      </w:r>
      <w:r>
        <w:t>ы,</w:t>
      </w:r>
      <w:r w:rsidR="003C56E8" w:rsidRPr="00C1395A">
        <w:t xml:space="preserve"> в связи с неисполнением обязанности, установленной п. 2 ст. 134 Федерального закона от 26.10.2002  № 127-ФЗ «О несостоятельности (банкротстве)» (далее - Закон о банкротстве), в части нарушения очередности удовлетворения текущей задолженности, </w:t>
      </w:r>
      <w:r>
        <w:t>а также</w:t>
      </w:r>
      <w:r w:rsidR="003C56E8" w:rsidRPr="00C1395A">
        <w:t xml:space="preserve"> в связи с  неисполнением и ненадлежащим исполнением обязанности, установленной ст. 12.1 Закона о банкротстве, в части нарушения сроков проведения собрания работников, бывших работников должника.</w:t>
      </w:r>
    </w:p>
    <w:p w:rsidR="003C56E8" w:rsidRPr="00C1395A" w:rsidRDefault="00620898" w:rsidP="00441F22">
      <w:pPr>
        <w:pStyle w:val="normal"/>
        <w:spacing w:after="0"/>
        <w:ind w:firstLine="567"/>
      </w:pPr>
      <w:r w:rsidRPr="00C1395A">
        <w:t>Кроме того, протокол в отношении арбитражн</w:t>
      </w:r>
      <w:r w:rsidR="00C1395A" w:rsidRPr="00C1395A">
        <w:t>ого</w:t>
      </w:r>
      <w:r w:rsidRPr="00C1395A">
        <w:t xml:space="preserve"> управляющ</w:t>
      </w:r>
      <w:r w:rsidR="00C1395A" w:rsidRPr="00C1395A">
        <w:t>его</w:t>
      </w:r>
      <w:r w:rsidRPr="00C1395A">
        <w:t xml:space="preserve"> должник</w:t>
      </w:r>
      <w:r w:rsidR="00C1395A" w:rsidRPr="00C1395A">
        <w:t>а</w:t>
      </w:r>
      <w:r w:rsidRPr="00C1395A">
        <w:t>, имеющ</w:t>
      </w:r>
      <w:r w:rsidR="00C1395A" w:rsidRPr="00C1395A">
        <w:t>его</w:t>
      </w:r>
      <w:r w:rsidRPr="00C1395A">
        <w:t xml:space="preserve"> задолженность по заработной плате, </w:t>
      </w:r>
      <w:r w:rsidR="00441F22">
        <w:t xml:space="preserve">был </w:t>
      </w:r>
      <w:r w:rsidR="00441F22" w:rsidRPr="00C1395A">
        <w:t xml:space="preserve">составлен </w:t>
      </w:r>
      <w:r w:rsidRPr="00C1395A">
        <w:t xml:space="preserve">по нарушениям, выявленным должностным лицом в ходе анализа информации, размещенной на сайте ЕФРСБ, а также </w:t>
      </w:r>
      <w:r w:rsidR="00441F22">
        <w:t>по результатам</w:t>
      </w:r>
      <w:r w:rsidR="000F772E" w:rsidRPr="00C1395A">
        <w:t xml:space="preserve"> участи</w:t>
      </w:r>
      <w:r w:rsidR="00441F22">
        <w:t xml:space="preserve">я </w:t>
      </w:r>
      <w:r w:rsidR="000F772E" w:rsidRPr="00C1395A">
        <w:t>в</w:t>
      </w:r>
      <w:r w:rsidRPr="00C1395A">
        <w:t xml:space="preserve"> собрания</w:t>
      </w:r>
      <w:r w:rsidR="000F772E" w:rsidRPr="00C1395A">
        <w:t>х</w:t>
      </w:r>
      <w:r w:rsidRPr="00C1395A">
        <w:t xml:space="preserve"> кредиторов.</w:t>
      </w:r>
    </w:p>
    <w:p w:rsidR="00B95708" w:rsidRDefault="00143DD2" w:rsidP="00441F22">
      <w:pPr>
        <w:pStyle w:val="normal"/>
        <w:spacing w:after="0"/>
        <w:ind w:firstLine="567"/>
      </w:pPr>
      <w:r>
        <w:t>Р</w:t>
      </w:r>
      <w:r w:rsidR="00B95708" w:rsidRPr="00F1717F">
        <w:t>еализация полномочий по составлению в отношении арбитражных управляющих протоколов об административных правонарушениях направлена на обеспечение соблюдения арбитражными управляющими установленного законом порядка осуществления процедур банкротства, посредством наказания лиц, виновных в совершении правонарушений и предотвращения новых нарушений.</w:t>
      </w:r>
      <w:r w:rsidR="00B95708">
        <w:t xml:space="preserve"> </w:t>
      </w:r>
    </w:p>
    <w:p w:rsidR="00143DD2" w:rsidRPr="009B5AFA" w:rsidRDefault="00441F22" w:rsidP="00441F22">
      <w:pPr>
        <w:pStyle w:val="normal"/>
        <w:spacing w:after="0"/>
        <w:ind w:firstLine="567"/>
      </w:pPr>
      <w:r>
        <w:t>Т</w:t>
      </w:r>
      <w:r w:rsidR="00143DD2" w:rsidRPr="009B5AFA">
        <w:t>аким образом</w:t>
      </w:r>
      <w:r w:rsidR="00143DD2" w:rsidRPr="00441F22">
        <w:t xml:space="preserve">, учитывая, что арбитражный управляющий является субъектом профессиональной </w:t>
      </w:r>
      <w:r w:rsidR="00143DD2" w:rsidRPr="00E60DC2">
        <w:t>деятельности, к которому предъявляются высокие требования, и деятельность которого является публичной, саморегулируемой организации необходимо усилить контроль за соблюдением арбитражными управляющими действующих норм федерального законодательства, уделяя особое</w:t>
      </w:r>
      <w:r w:rsidR="00143DD2" w:rsidRPr="009B5AFA">
        <w:t xml:space="preserve"> внимание обеспечению </w:t>
      </w:r>
      <w:r w:rsidR="00143DD2" w:rsidRPr="009B5AFA">
        <w:lastRenderedPageBreak/>
        <w:t xml:space="preserve">неукоснительного соблюдения норм, направленных на защиту прав работников, бывших работников предприятий, в отношении которых введены процедуры банкротства. </w:t>
      </w:r>
    </w:p>
    <w:p w:rsidR="00143DD2" w:rsidRPr="009B5AFA" w:rsidRDefault="00143DD2" w:rsidP="00441F22">
      <w:pPr>
        <w:pStyle w:val="normal"/>
        <w:spacing w:after="0"/>
        <w:ind w:firstLine="567"/>
      </w:pPr>
    </w:p>
    <w:p w:rsidR="00BB54D0" w:rsidRPr="00441F22" w:rsidRDefault="00BB54D0" w:rsidP="00441F22">
      <w:pPr>
        <w:pStyle w:val="normal"/>
        <w:spacing w:after="0"/>
        <w:ind w:firstLine="567"/>
      </w:pPr>
    </w:p>
    <w:sectPr w:rsidR="00BB54D0" w:rsidRPr="00441F22" w:rsidSect="00BB54D0">
      <w:headerReference w:type="even" r:id="rId6"/>
      <w:headerReference w:type="default" r:id="rId7"/>
      <w:pgSz w:w="11905" w:h="16837"/>
      <w:pgMar w:top="1134" w:right="851" w:bottom="1134" w:left="1701" w:header="709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111" w:rsidRDefault="00615111" w:rsidP="00BB54D0">
      <w:pPr>
        <w:spacing w:after="0"/>
      </w:pPr>
      <w:r>
        <w:separator/>
      </w:r>
    </w:p>
  </w:endnote>
  <w:endnote w:type="continuationSeparator" w:id="1">
    <w:p w:rsidR="00615111" w:rsidRDefault="00615111" w:rsidP="00BB54D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111" w:rsidRDefault="00615111" w:rsidP="00BB54D0">
      <w:pPr>
        <w:spacing w:after="0"/>
      </w:pPr>
      <w:r>
        <w:separator/>
      </w:r>
    </w:p>
  </w:footnote>
  <w:footnote w:type="continuationSeparator" w:id="1">
    <w:p w:rsidR="00615111" w:rsidRDefault="00615111" w:rsidP="00BB54D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D0" w:rsidRDefault="004D1BA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10301C">
      <w:rPr>
        <w:color w:val="000000"/>
      </w:rPr>
      <w:instrText>PAGE</w:instrText>
    </w:r>
    <w:r>
      <w:rPr>
        <w:color w:val="000000"/>
      </w:rPr>
      <w:fldChar w:fldCharType="end"/>
    </w:r>
  </w:p>
  <w:p w:rsidR="00BB54D0" w:rsidRDefault="00BB54D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D0" w:rsidRDefault="004D1BA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10301C">
      <w:rPr>
        <w:color w:val="000000"/>
      </w:rPr>
      <w:instrText>PAGE</w:instrText>
    </w:r>
    <w:r>
      <w:rPr>
        <w:color w:val="000000"/>
      </w:rPr>
      <w:fldChar w:fldCharType="separate"/>
    </w:r>
    <w:r w:rsidR="00E60DC2">
      <w:rPr>
        <w:noProof/>
        <w:color w:val="000000"/>
      </w:rPr>
      <w:t>2</w:t>
    </w:r>
    <w:r>
      <w:rPr>
        <w:color w:val="000000"/>
      </w:rPr>
      <w:fldChar w:fldCharType="end"/>
    </w:r>
  </w:p>
  <w:p w:rsidR="00BB54D0" w:rsidRDefault="0010301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center" w:pos="5102"/>
      </w:tabs>
      <w:spacing w:after="0"/>
      <w:rPr>
        <w:color w:val="000000"/>
      </w:rPr>
    </w:pPr>
    <w:r>
      <w:rPr>
        <w:color w:val="000000"/>
      </w:rPr>
      <w:tab/>
    </w:r>
    <w:r w:rsidR="004D1BA1" w:rsidRPr="004D1BA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26.85pt;margin-top:.05pt;width:13.95pt;height:16pt;z-index:251657728;mso-wrap-distance-left:0;mso-wrap-distance-right:0;mso-position-horizontal-relative:margin;mso-position-vertical-relative:text" stroked="f">
          <v:fill opacity="0" color2="black" angle="180"/>
          <v:textbox style="mso-next-textbox:#_x0000_s2049" inset="0,0,0,0">
            <w:txbxContent>
              <w:p w:rsidR="00CE316B" w:rsidRPr="004E2701" w:rsidRDefault="00615111" w:rsidP="004E2701">
                <w:pPr>
                  <w:pStyle w:val="normal"/>
                </w:pPr>
              </w:p>
            </w:txbxContent>
          </v:textbox>
          <w10:wrap type="square" side="largest" anchorx="margin"/>
        </v:shape>
      </w:pict>
    </w:r>
  </w:p>
  <w:p w:rsidR="00BB54D0" w:rsidRDefault="00BB54D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center" w:pos="5102"/>
      </w:tabs>
      <w:spacing w:after="0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20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B54D0"/>
    <w:rsid w:val="00050B7B"/>
    <w:rsid w:val="00051E84"/>
    <w:rsid w:val="000B0A82"/>
    <w:rsid w:val="000E572B"/>
    <w:rsid w:val="000F772E"/>
    <w:rsid w:val="0010301C"/>
    <w:rsid w:val="00143DD2"/>
    <w:rsid w:val="00154B50"/>
    <w:rsid w:val="002012D2"/>
    <w:rsid w:val="002277D5"/>
    <w:rsid w:val="00247206"/>
    <w:rsid w:val="00347DC5"/>
    <w:rsid w:val="003573C0"/>
    <w:rsid w:val="0038415D"/>
    <w:rsid w:val="003C56E8"/>
    <w:rsid w:val="003D4379"/>
    <w:rsid w:val="003F3306"/>
    <w:rsid w:val="004072DB"/>
    <w:rsid w:val="00441F22"/>
    <w:rsid w:val="0045669E"/>
    <w:rsid w:val="004B2D90"/>
    <w:rsid w:val="004D1BA1"/>
    <w:rsid w:val="004E1B59"/>
    <w:rsid w:val="00615111"/>
    <w:rsid w:val="00620898"/>
    <w:rsid w:val="006C449C"/>
    <w:rsid w:val="0071354A"/>
    <w:rsid w:val="00724D00"/>
    <w:rsid w:val="0073095F"/>
    <w:rsid w:val="00877642"/>
    <w:rsid w:val="008A7A24"/>
    <w:rsid w:val="008E5871"/>
    <w:rsid w:val="00910FDD"/>
    <w:rsid w:val="00980BE2"/>
    <w:rsid w:val="00990329"/>
    <w:rsid w:val="009B5AFA"/>
    <w:rsid w:val="00A139AC"/>
    <w:rsid w:val="00A24EE4"/>
    <w:rsid w:val="00A572FC"/>
    <w:rsid w:val="00A7762B"/>
    <w:rsid w:val="00AF4A42"/>
    <w:rsid w:val="00B5253C"/>
    <w:rsid w:val="00B94ED4"/>
    <w:rsid w:val="00B95708"/>
    <w:rsid w:val="00BB219A"/>
    <w:rsid w:val="00BB54D0"/>
    <w:rsid w:val="00C03093"/>
    <w:rsid w:val="00C1395A"/>
    <w:rsid w:val="00C63B6A"/>
    <w:rsid w:val="00C77482"/>
    <w:rsid w:val="00C86F59"/>
    <w:rsid w:val="00CD1183"/>
    <w:rsid w:val="00D84985"/>
    <w:rsid w:val="00D90DE8"/>
    <w:rsid w:val="00DD14FF"/>
    <w:rsid w:val="00E45E83"/>
    <w:rsid w:val="00E60DC2"/>
    <w:rsid w:val="00EC0441"/>
    <w:rsid w:val="00ED057A"/>
    <w:rsid w:val="00F1717F"/>
    <w:rsid w:val="00F4183A"/>
    <w:rsid w:val="00F76081"/>
    <w:rsid w:val="00FA7AC4"/>
    <w:rsid w:val="00FF0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81"/>
  </w:style>
  <w:style w:type="paragraph" w:styleId="1">
    <w:name w:val="heading 1"/>
    <w:basedOn w:val="normal"/>
    <w:next w:val="normal"/>
    <w:rsid w:val="00BB54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B54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B54D0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normal"/>
    <w:next w:val="normal"/>
    <w:rsid w:val="00BB54D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B54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BB54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B54D0"/>
  </w:style>
  <w:style w:type="table" w:customStyle="1" w:styleId="TableNormal">
    <w:name w:val="Table Normal"/>
    <w:rsid w:val="00BB54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B54D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B54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Body Text Indent 2"/>
    <w:basedOn w:val="a"/>
    <w:link w:val="21"/>
    <w:uiPriority w:val="99"/>
    <w:unhideWhenUsed/>
    <w:rsid w:val="00980BE2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980BE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Чернавских Екатерина Борисовна</dc:creator>
  <cp:lastModifiedBy>СкрябинаСВ</cp:lastModifiedBy>
  <cp:revision>25</cp:revision>
  <dcterms:created xsi:type="dcterms:W3CDTF">2020-11-11T07:40:00Z</dcterms:created>
  <dcterms:modified xsi:type="dcterms:W3CDTF">2023-11-09T05:33:00Z</dcterms:modified>
</cp:coreProperties>
</file>