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 w:val="false"/>
        <w:spacing w:before="0" w:after="0"/>
        <w:jc w:val="center"/>
        <w:rPr>
          <w:rFonts w:ascii="Liberation Serif" w:hAnsi="Liberation Serif" w:cs="Liberation Serif"/>
          <w:b/>
          <w:sz w:val="10"/>
          <w:szCs w:val="10"/>
        </w:rPr>
      </w:pPr>
      <w:r>
        <w:rPr/>
        <w:drawing>
          <wp:inline distT="0" distB="0" distL="0" distR="0">
            <wp:extent cx="755650" cy="120078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rcRect l="-95" t="-60" r="-95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Liberation Serif" w:hAnsi="Liberation Serif" w:cs="Liberation Serif"/>
          <w:b/>
          <w:sz w:val="10"/>
          <w:szCs w:val="10"/>
        </w:rPr>
      </w:pPr>
      <w:r>
        <w:rPr>
          <w:rFonts w:cs="Liberation Serif" w:ascii="Liberation Serif" w:hAnsi="Liberation Serif"/>
          <w:b/>
          <w:sz w:val="10"/>
          <w:szCs w:val="10"/>
        </w:rPr>
      </w:r>
      <w:bookmarkStart w:id="0" w:name="Par1"/>
      <w:bookmarkStart w:id="1" w:name="Par1"/>
      <w:bookmarkEnd w:id="1"/>
    </w:p>
    <w:p>
      <w:pPr>
        <w:pStyle w:val="Normal"/>
        <w:spacing w:before="0" w:after="0"/>
        <w:jc w:val="center"/>
        <w:rPr/>
      </w:pPr>
      <w:r>
        <w:rPr>
          <w:rFonts w:cs="Liberation Serif" w:ascii="Liberation Serif" w:hAnsi="Liberation Serif"/>
          <w:b/>
          <w:sz w:val="28"/>
          <w:szCs w:val="28"/>
        </w:rPr>
        <w:t xml:space="preserve">АДМИНИСТРАЦИЯ </w:t>
      </w:r>
    </w:p>
    <w:p>
      <w:pPr>
        <w:pStyle w:val="Normal"/>
        <w:spacing w:before="0" w:after="0"/>
        <w:jc w:val="center"/>
        <w:rPr/>
      </w:pPr>
      <w:r>
        <w:rPr>
          <w:rFonts w:cs="Liberation Serif" w:ascii="Liberation Serif" w:hAnsi="Liberation Serif"/>
          <w:b/>
          <w:sz w:val="28"/>
          <w:szCs w:val="28"/>
        </w:rPr>
        <w:t>ГОРОДСКОГО ОКРУГА ВЕРХНЕЕ ДУБРОВО</w:t>
      </w:r>
    </w:p>
    <w:p>
      <w:pPr>
        <w:pStyle w:val="Normal"/>
        <w:spacing w:before="0" w:after="0"/>
        <w:jc w:val="center"/>
        <w:rPr/>
      </w:pPr>
      <w:r>
        <w:rPr>
          <w:rFonts w:cs="Liberation Serif" w:ascii="Liberation Serif" w:hAnsi="Liberation Serif"/>
          <w:b/>
          <w:sz w:val="32"/>
          <w:szCs w:val="32"/>
        </w:rPr>
        <w:t>ПОСТАНОВЛЕНИЕ</w:t>
      </w:r>
    </w:p>
    <w:p>
      <w:pPr>
        <w:pStyle w:val="Normal"/>
        <w:spacing w:before="0" w:after="0"/>
        <w:jc w:val="center"/>
        <w:rPr/>
      </w:pPr>
      <w:r>
        <w:rPr>
          <w:rFonts w:cs="Liberation Serif" w:ascii="Liberation Serif" w:hAnsi="Liberation Serif"/>
          <w:sz w:val="32"/>
          <w:u w:val="double"/>
        </w:rPr>
        <w:t>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cs="Liberation Serif" w:ascii="Liberation Serif" w:hAnsi="Liberation Serif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/>
      </w:pPr>
      <w:bookmarkStart w:id="2" w:name="_Hlk45001434"/>
      <w:bookmarkStart w:id="3" w:name="_Hlk45542224"/>
      <w:r>
        <w:rPr>
          <w:rFonts w:cs="Liberation Serif" w:ascii="Liberation Serif" w:hAnsi="Liberation Serif"/>
          <w:sz w:val="20"/>
        </w:rPr>
        <w:t xml:space="preserve">от </w:t>
      </w:r>
      <w:r>
        <w:rPr>
          <w:rFonts w:cs="Liberation Serif" w:ascii="Liberation Serif" w:hAnsi="Liberation Serif"/>
          <w:sz w:val="20"/>
        </w:rPr>
        <w:t>24</w:t>
      </w:r>
      <w:r>
        <w:rPr>
          <w:rFonts w:cs="Liberation Serif" w:ascii="Liberation Serif" w:hAnsi="Liberation Serif"/>
          <w:sz w:val="20"/>
        </w:rPr>
        <w:t xml:space="preserve"> октября 2024 года № </w:t>
      </w:r>
      <w:bookmarkEnd w:id="2"/>
      <w:bookmarkEnd w:id="3"/>
      <w:r>
        <w:rPr>
          <w:rFonts w:cs="Liberation Serif" w:ascii="Liberation Serif" w:hAnsi="Liberation Serif"/>
          <w:sz w:val="20"/>
        </w:rPr>
        <w:t>350-2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10"/>
          <w:szCs w:val="10"/>
        </w:rPr>
      </w:pPr>
      <w:r>
        <w:rPr>
          <w:rFonts w:cs="Liberation Serif" w:ascii="Liberation Serif" w:hAnsi="Liberation Serif"/>
          <w:sz w:val="10"/>
          <w:szCs w:val="10"/>
        </w:rPr>
      </w:r>
    </w:p>
    <w:p>
      <w:pPr>
        <w:pStyle w:val="Normal"/>
        <w:spacing w:lineRule="auto" w:line="240" w:before="0" w:after="0"/>
        <w:rPr/>
      </w:pPr>
      <w:r>
        <w:rPr>
          <w:rFonts w:cs="Liberation Serif" w:ascii="Liberation Serif" w:hAnsi="Liberation Serif"/>
          <w:sz w:val="20"/>
        </w:rPr>
        <w:t>пгт Верхнее Дуброво</w:t>
      </w:r>
    </w:p>
    <w:p>
      <w:pPr>
        <w:pStyle w:val="Normal"/>
        <w:spacing w:lineRule="auto" w:line="240" w:before="0" w:after="0"/>
        <w:ind w:firstLine="284"/>
        <w:jc w:val="center"/>
        <w:rPr>
          <w:rFonts w:ascii="Liberation Serif" w:hAnsi="Liberation Serif" w:cs="Liberation Serif"/>
          <w:b/>
          <w:bCs/>
          <w:i/>
          <w:i/>
          <w:sz w:val="32"/>
          <w:szCs w:val="32"/>
        </w:rPr>
      </w:pPr>
      <w:r>
        <w:rPr>
          <w:rFonts w:cs="Liberation Serif" w:ascii="Liberation Serif" w:hAnsi="Liberation Serif"/>
          <w:b/>
          <w:bCs/>
          <w:i/>
          <w:sz w:val="32"/>
          <w:szCs w:val="32"/>
        </w:rPr>
      </w:r>
    </w:p>
    <w:p>
      <w:pPr>
        <w:pStyle w:val="312"/>
        <w:spacing w:before="0" w:after="0"/>
        <w:jc w:val="center"/>
        <w:rPr/>
      </w:pPr>
      <w:r>
        <w:rPr>
          <w:rFonts w:cs="Liberation Serif" w:ascii="Liberation Serif" w:hAnsi="Liberation Serif"/>
          <w:b/>
          <w:i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земельного контроля на территории городского округа Верхнее Дуброво 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cs="Liberation Serif"/>
          <w:b/>
          <w:i/>
          <w:i/>
          <w:sz w:val="24"/>
          <w:szCs w:val="24"/>
        </w:rPr>
      </w:pPr>
      <w:r>
        <w:rPr>
          <w:rFonts w:cs="Liberation Serif" w:ascii="Liberation Serif" w:hAnsi="Liberation Serif"/>
          <w:b/>
          <w:i/>
          <w:sz w:val="24"/>
          <w:szCs w:val="24"/>
        </w:rPr>
      </w:r>
    </w:p>
    <w:p>
      <w:pPr>
        <w:pStyle w:val="312"/>
        <w:tabs>
          <w:tab w:val="clear" w:pos="708"/>
          <w:tab w:val="left" w:pos="993" w:leader="none"/>
        </w:tabs>
        <w:spacing w:before="0" w:after="0"/>
        <w:ind w:firstLine="709"/>
        <w:jc w:val="both"/>
        <w:rPr/>
      </w:pPr>
      <w:r>
        <w:rPr>
          <w:rFonts w:cs="Liberation Serif" w:ascii="Liberation Serif" w:hAnsi="Liberation Serif"/>
          <w:sz w:val="24"/>
          <w:szCs w:val="24"/>
        </w:rPr>
        <w:t xml:space="preserve">В соответствии со статьей 44 Федерального закона от 31 июля 2020 года № 248-ФЗ </w:t>
        <w:br/>
        <w:t>«О государственном контроле (надзоре) и муниципальном контроле в Российской Федерации», статьей 17.1 Федерального закона от 06 октября 2003 года № 131-ФЗ «Об общих принципах организации местного самоуправления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утверждёнными постановлением Правительства Российской Федерации от 25 июня 2021 года № 990, Положением о муниципальном земельном контроле на территории городского округа Верхнее Дуброво, утверждённым решением Думы городского округа Верхнее Дуброво</w:t>
      </w:r>
      <w:r>
        <w:rPr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 xml:space="preserve">от 19 августа 2021 года № 619, и на основании Протокола проведения общественных обсуждений от 14 октября 2024 года № </w:t>
      </w:r>
      <w:r>
        <w:rPr>
          <w:rFonts w:cs="Liberation Serif" w:ascii="Liberation Serif" w:hAnsi="Liberation Serif"/>
          <w:sz w:val="24"/>
          <w:szCs w:val="24"/>
        </w:rPr>
        <w:t>6</w:t>
      </w:r>
    </w:p>
    <w:p>
      <w:pPr>
        <w:pStyle w:val="Normal"/>
        <w:spacing w:lineRule="auto" w:line="240" w:before="0" w:after="0"/>
        <w:ind w:firstLine="708" w:left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ind w:firstLine="1701"/>
        <w:jc w:val="both"/>
        <w:rPr/>
      </w:pPr>
      <w:r>
        <w:rPr>
          <w:rFonts w:cs="Liberation Serif" w:ascii="Liberation Serif" w:hAnsi="Liberation Serif"/>
          <w:bCs/>
          <w:sz w:val="24"/>
          <w:szCs w:val="24"/>
        </w:rPr>
        <w:t>ПОСТАНОВЛЯЮ: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</w:r>
    </w:p>
    <w:p>
      <w:pPr>
        <w:pStyle w:val="312"/>
        <w:tabs>
          <w:tab w:val="clear" w:pos="708"/>
          <w:tab w:val="left" w:pos="993" w:leader="none"/>
        </w:tabs>
        <w:spacing w:before="0" w:after="0"/>
        <w:ind w:firstLine="709"/>
        <w:jc w:val="both"/>
        <w:rPr/>
      </w:pPr>
      <w:r>
        <w:rPr>
          <w:rFonts w:cs="Liberation Serif" w:ascii="Liberation Serif" w:hAnsi="Liberation Serif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2025 год в сфере муниципального земельного контроля на территории городского округа Верхнее Дуброво (прилагается).</w:t>
      </w:r>
    </w:p>
    <w:p>
      <w:pPr>
        <w:pStyle w:val="311"/>
        <w:tabs>
          <w:tab w:val="clear" w:pos="708"/>
          <w:tab w:val="left" w:pos="993" w:leader="none"/>
          <w:tab w:val="left" w:pos="1134" w:leader="none"/>
        </w:tabs>
        <w:spacing w:before="0" w:after="0"/>
        <w:ind w:firstLine="709" w:left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311"/>
        <w:tabs>
          <w:tab w:val="clear" w:pos="708"/>
          <w:tab w:val="left" w:pos="993" w:leader="none"/>
          <w:tab w:val="left" w:pos="1134" w:leader="none"/>
        </w:tabs>
        <w:spacing w:before="0" w:after="0"/>
        <w:ind w:firstLine="709" w:left="0"/>
        <w:jc w:val="both"/>
        <w:rPr/>
      </w:pPr>
      <w:r>
        <w:rPr>
          <w:rFonts w:cs="Liberation Serif" w:ascii="Liberation Serif" w:hAnsi="Liberation Serif"/>
          <w:sz w:val="24"/>
          <w:szCs w:val="24"/>
        </w:rPr>
        <w:t>2. Опубликовать настоящее постановление в «Информационном бюллетене городского округа Верхнее Дуброво» и разместить на официальном сайте городского округа Верхнее Дуброво в информационно-телекоммуникационной сети «Интернет» по адресу: www.vdubrovo.ru.</w:t>
      </w:r>
    </w:p>
    <w:p>
      <w:pPr>
        <w:pStyle w:val="311"/>
        <w:tabs>
          <w:tab w:val="clear" w:pos="708"/>
          <w:tab w:val="left" w:pos="993" w:leader="none"/>
          <w:tab w:val="left" w:pos="1134" w:leader="none"/>
        </w:tabs>
        <w:spacing w:before="0" w:after="0"/>
        <w:ind w:firstLine="709" w:left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cs="Liberation Serif" w:ascii="Liberation Serif" w:hAnsi="Liberation Serif"/>
          <w:sz w:val="24"/>
          <w:szCs w:val="24"/>
        </w:rPr>
        <w:t xml:space="preserve">3. Контроль за исполнением настоящего постановления возложить на начальника экономико-правового отдела Администрации городского округа Верхнее Дуброво Бровченко Павла Борисовича. 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tabs>
          <w:tab w:val="clear" w:pos="708"/>
          <w:tab w:val="right" w:pos="10200" w:leader="none"/>
        </w:tabs>
        <w:spacing w:lineRule="auto" w:line="240" w:before="0" w:after="0"/>
        <w:rPr/>
      </w:pPr>
      <w:r>
        <w:rPr>
          <w:rFonts w:cs="Liberation Serif" w:ascii="Liberation Serif" w:hAnsi="Liberation Serif"/>
          <w:sz w:val="24"/>
          <w:szCs w:val="24"/>
        </w:rPr>
        <w:t>Глава городского округа</w:t>
        <w:tab/>
        <w:t>В.К. Конопкин</w:t>
      </w:r>
      <w:r>
        <w:br w:type="page"/>
      </w:r>
    </w:p>
    <w:p>
      <w:pPr>
        <w:pStyle w:val="Normal"/>
        <w:spacing w:lineRule="auto" w:line="240" w:before="0" w:after="0"/>
        <w:ind w:left="7371"/>
        <w:rPr/>
      </w:pPr>
      <w:r>
        <w:rPr>
          <w:rFonts w:cs="Liberation Serif" w:ascii="Liberation Serif" w:hAnsi="Liberation Serif"/>
        </w:rPr>
        <w:t>УТВЕРЖДЕНА</w:t>
      </w:r>
    </w:p>
    <w:p>
      <w:pPr>
        <w:pStyle w:val="Normal"/>
        <w:spacing w:lineRule="auto" w:line="240" w:before="0" w:after="0"/>
        <w:ind w:left="6521"/>
        <w:rPr/>
      </w:pPr>
      <w:r>
        <w:rPr>
          <w:rFonts w:cs="Liberation Serif" w:ascii="Liberation Serif" w:hAnsi="Liberation Serif"/>
        </w:rPr>
        <w:t xml:space="preserve">постановлением Администрации городского округа Верхнее Дуброво </w:t>
      </w:r>
    </w:p>
    <w:p>
      <w:pPr>
        <w:pStyle w:val="Normal"/>
        <w:spacing w:lineRule="auto" w:line="240" w:before="0" w:after="0"/>
        <w:ind w:left="6521"/>
        <w:rPr/>
      </w:pPr>
      <w:r>
        <w:rPr>
          <w:rFonts w:cs="Liberation Serif" w:ascii="Liberation Serif" w:hAnsi="Liberation Serif"/>
        </w:rPr>
        <w:t xml:space="preserve">от </w:t>
      </w:r>
      <w:r>
        <w:rPr>
          <w:rFonts w:cs="Liberation Serif" w:ascii="Liberation Serif" w:hAnsi="Liberation Serif"/>
        </w:rPr>
        <w:t>24</w:t>
      </w:r>
      <w:r>
        <w:rPr>
          <w:rFonts w:cs="Liberation Serif" w:ascii="Liberation Serif" w:hAnsi="Liberation Serif"/>
        </w:rPr>
        <w:t xml:space="preserve"> октября 2024 года № </w:t>
      </w:r>
      <w:r>
        <w:rPr>
          <w:rFonts w:cs="Liberation Serif" w:ascii="Liberation Serif" w:hAnsi="Liberation Serif"/>
        </w:rPr>
        <w:t>350-2</w:t>
      </w:r>
    </w:p>
    <w:p>
      <w:pPr>
        <w:pStyle w:val="Normal"/>
        <w:spacing w:lineRule="auto" w:line="240" w:before="0" w:after="0"/>
        <w:ind w:left="594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left="594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left="594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left="594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left="594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left="594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Liberation Serif" w:ascii="Liberation Serif" w:hAnsi="Liberation Serif"/>
          <w:b/>
          <w:i/>
        </w:rPr>
        <w:t xml:space="preserve">ПРОГРАММА ПРОФИЛАКТИКИ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Liberation Serif" w:ascii="Liberation Serif" w:hAnsi="Liberation Serif"/>
          <w:b/>
          <w:i/>
        </w:rPr>
        <w:t>рисков причинения вреда (ущерба) охраняемым законом ценностям на 2025 год в сфере муниципального земельного контроля на территории городского округа Верхнее Дуброво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i/>
          <w:i/>
        </w:rPr>
      </w:pPr>
      <w:r>
        <w:rPr>
          <w:rFonts w:cs="Liberation Serif" w:ascii="Liberation Serif" w:hAnsi="Liberation Serif"/>
          <w:b/>
          <w:i/>
        </w:rPr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Настоящая Программа профилактики рисков причинения вреда (ущерба) охраняемым законом ценностям на 2025 год в сфере муниципального земельного контроля на территории городского округа Верхнее Дуброво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Настоящая Программа разработана и подлежит исполнению Администрацией городского округа Верхнее Дуброво (далее по тексту – администрация).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cs="Liberation Serif"/>
          <w:b/>
        </w:rPr>
      </w:pPr>
      <w:r>
        <w:rPr>
          <w:rFonts w:cs="Liberation Serif" w:ascii="Liberation Serif" w:hAnsi="Liberation Serif"/>
          <w:b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</w:rPr>
      </w:pPr>
      <w:r>
        <w:rPr>
          <w:rFonts w:cs="Liberation Serif" w:ascii="Liberation Serif" w:hAnsi="Liberation Serif"/>
          <w:b/>
        </w:rPr>
        <w:t>Раздел 1. Анализ текущего состояния осуществления муниципального земельного контроля, описание текущего развития профилактической деятельности органа контроля, характеристика проблем, на решение которых направлена Программа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1.1. Вид муниципального контроля: муниципальный земельный контроль.</w:t>
      </w:r>
    </w:p>
    <w:p>
      <w:pPr>
        <w:pStyle w:val="ConsPlusNormal"/>
        <w:ind w:firstLine="426"/>
        <w:jc w:val="both"/>
        <w:rPr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1.2. Предметом муниципального контроля является:</w:t>
      </w:r>
    </w:p>
    <w:p>
      <w:pPr>
        <w:pStyle w:val="ConsPlusNormal"/>
        <w:ind w:firstLine="851"/>
        <w:jc w:val="both"/>
        <w:rPr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1) соблюдение юридическими лицами, индивидуальными предпринимателями, гражданами (далее – контролируемые лица) обязательных требований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>
      <w:pPr>
        <w:pStyle w:val="ConsPlusNormal"/>
        <w:ind w:firstLine="851"/>
        <w:jc w:val="both"/>
        <w:rPr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2) исполнение решений, принимаемых по результатам контрольных мероприятий.</w:t>
      </w:r>
    </w:p>
    <w:p>
      <w:pPr>
        <w:pStyle w:val="ConsPlusNormal"/>
        <w:ind w:firstLine="426"/>
        <w:jc w:val="both"/>
        <w:rPr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1.3. Объектами муниципального земельного контроля являются земли, земельные участки, части земельных участков, расположенные в границах городского округа Верхнее Дуброво.</w:t>
      </w:r>
    </w:p>
    <w:p>
      <w:pPr>
        <w:pStyle w:val="ConsPlusNormal"/>
        <w:ind w:firstLine="426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1.4. Муниципальный земельный контроль на территории городского округа Верхнее Дуброво осуществляется администрацией в лице отдела земельно-имущественных отношений и строительства Администрации городского округа Верхнее Дуброво (далее - отдел муниципального земельного контроля, орган муниципального контроля).</w:t>
      </w:r>
    </w:p>
    <w:p>
      <w:pPr>
        <w:pStyle w:val="ConsPlusNormal"/>
        <w:ind w:firstLine="426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1.5. Муниципальный контроль осуществляется в соответствии со статьей 72 Земельного кодекса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 нормативно-правовыми актами городского округа Верхнее Дуброво.</w:t>
      </w:r>
    </w:p>
    <w:p>
      <w:pPr>
        <w:pStyle w:val="ConsPlusNormal"/>
        <w:ind w:firstLine="426"/>
        <w:jc w:val="both"/>
        <w:rPr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1.6. 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1.7. В рамках профилактики</w:t>
      </w:r>
      <w:r>
        <w:rPr>
          <w:rFonts w:eastAsia="Calibri" w:cs="Liberation Serif" w:ascii="Liberation Serif" w:hAnsi="Liberation Serif"/>
          <w:lang w:eastAsia="en-US"/>
        </w:rPr>
        <w:t xml:space="preserve"> рисков причинения вреда (ущерба) охраняемым законом ценностям</w:t>
      </w:r>
      <w:r>
        <w:rPr>
          <w:rFonts w:cs="Liberation Serif" w:ascii="Liberation Serif" w:hAnsi="Liberation Serif"/>
        </w:rPr>
        <w:t xml:space="preserve"> администрацией в 2023 году осуществляются следующие мероприятия: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1) размещение на официальном сайте городского округа Верхнее Дуброво в информационно-телекоммуникационной сети «Интернет» по адресу: www.vdubrovo.ru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3) обеспечение регулярного обобщения практики осуществления муниципального контроля и размещение на официальном сайте городского округа Верхнее Дуброво в информационно-телекоммуникационной сети «Интернет» по адресу: www.vdubrovo.ru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426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1.8. 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85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1)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85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85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2) Сознательное бездействие правообладателей земельных участков, либо использование земельных участков не в соответствии с его целевым назначением, а также использование земельных участков или частей земельных участков, без соответствующих оформленных прав на землю.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426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Выявить таких правообладателей и провести с ними профилактические мероприятия, как правило, возможно, только при проведении контрольно-надзорных мероприятий.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color w:val="000000"/>
          <w:highlight w:val="white"/>
        </w:rPr>
      </w:pPr>
      <w:r>
        <w:rPr>
          <w:rFonts w:cs="Liberation Serif" w:ascii="Liberation Serif" w:hAnsi="Liberation Serif"/>
          <w:b/>
        </w:rPr>
        <w:t xml:space="preserve">Раздел </w:t>
      </w:r>
      <w:r>
        <w:rPr>
          <w:rFonts w:cs="Liberation Serif" w:ascii="Liberation Serif" w:hAnsi="Liberation Serif"/>
          <w:b/>
          <w:color w:val="000000"/>
          <w:shd w:fill="FFFFFF" w:val="clear"/>
        </w:rPr>
        <w:t>2. Цели и задачи реализации Программы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2.1. Целями профилактической работы являются: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1) 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2.2. Задачами профилактической работы являются: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1)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2)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3)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4) определение перечня видов и сбор статистических данных, необходимых для организации профилактической работы;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5) повышение квалификации кадрового состава контрольно-надзорного органа;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6) снижение уровня административной нагрузки на организации и граждан, осуществляющих предпринимательскую деятельность;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7)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Liberation Serif" w:ascii="Liberation Serif" w:hAnsi="Liberation Serif"/>
        </w:rPr>
        <w:t>8) другие задачи в зависимости от выявленных проблем в регулируемой сфере и текущего состояния профилактической работы.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</w:rPr>
        <w:t>В положении о виде контроля с</w:t>
      </w:r>
      <w:r>
        <w:rPr>
          <w:rFonts w:cs="Liberation Serif" w:ascii="Liberation Serif" w:hAnsi="Liberation Serif"/>
          <w:shd w:fill="FFFFFF" w:val="clear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(часть 1 статьи 51 Федерального закона от 31 июля 2020 года </w:t>
        <w:br/>
        <w:t>№ 248-ФЗ «О государственном контроле (надзоре) и муниципальном контроле в Российской Федерации»).</w:t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erif" w:hAnsi="Liberation Serif" w:cs="Liberation Serif"/>
          <w:b/>
          <w:color w:val="000000"/>
          <w:highlight w:val="white"/>
        </w:rPr>
      </w:pPr>
      <w:r>
        <w:rPr>
          <w:rFonts w:cs="Liberation Serif" w:ascii="Liberation Serif" w:hAnsi="Liberation Serif"/>
          <w:b/>
          <w:color w:val="000000"/>
          <w:highlight w:val="white"/>
        </w:rPr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cs="Liberation Serif" w:ascii="Liberation Serif" w:hAnsi="Liberation Serif"/>
          <w:b/>
        </w:rPr>
        <w:t xml:space="preserve">Раздел </w:t>
      </w:r>
      <w:r>
        <w:rPr>
          <w:rFonts w:cs="Liberation Serif" w:ascii="Liberation Serif" w:hAnsi="Liberation Serif"/>
          <w:b/>
          <w:color w:val="000000"/>
          <w:shd w:fill="FFFFFF" w:val="clear"/>
        </w:rPr>
        <w:t>3. Перечень профилактических мероприятий, сроки (периодичность) их проведения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Liberation Serif" w:ascii="Liberation Serif" w:hAnsi="Liberation Serif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>
      <w:pPr>
        <w:pStyle w:val="Normal"/>
        <w:suppressAutoHyphens w:val="false"/>
        <w:spacing w:lineRule="auto" w:line="240" w:before="0" w:after="0"/>
        <w:ind w:firstLine="426"/>
        <w:jc w:val="both"/>
        <w:rPr>
          <w:rFonts w:ascii="Liberation Serif" w:hAnsi="Liberation Serif" w:cs="Liberation Serif"/>
          <w:lang w:eastAsia="ru-RU"/>
        </w:rPr>
      </w:pPr>
      <w:r>
        <w:rPr>
          <w:rFonts w:cs="Liberation Serif" w:ascii="Liberation Serif" w:hAnsi="Liberation Serif"/>
          <w:lang w:eastAsia="ru-RU"/>
        </w:rPr>
        <w:t>Перечень основных профилактических мероприятий Программы на 2025 год приведен в таблице 1.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ind w:hanging="0" w:left="0"/>
        <w:outlineLvl w:val="0"/>
        <w:rPr>
          <w:rFonts w:ascii="Liberation Serif" w:hAnsi="Liberation Serif" w:cs="Liberation Serif"/>
          <w:lang w:eastAsia="ru-RU"/>
        </w:rPr>
      </w:pPr>
      <w:r>
        <w:rPr>
          <w:rFonts w:cs="Liberation Serif" w:ascii="Liberation Serif" w:hAnsi="Liberation Serif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ind w:hanging="0" w:left="0"/>
        <w:jc w:val="right"/>
        <w:outlineLvl w:val="0"/>
        <w:rPr>
          <w:rFonts w:ascii="Liberation Serif" w:hAnsi="Liberation Serif" w:cs="Liberation Serif"/>
          <w:lang w:eastAsia="ru-RU"/>
        </w:rPr>
      </w:pPr>
      <w:r>
        <w:rPr>
          <w:rFonts w:cs="Liberation Serif" w:ascii="Liberation Serif" w:hAnsi="Liberation Serif"/>
          <w:lang w:eastAsia="ru-RU"/>
        </w:rPr>
        <w:t>Таблица 1</w:t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erif" w:hAnsi="Liberation Serif" w:cs="Liberation Serif"/>
          <w:b/>
          <w:color w:val="000000"/>
          <w:highlight w:val="white"/>
          <w:lang w:eastAsia="ru-RU"/>
        </w:rPr>
      </w:pPr>
      <w:r>
        <w:rPr>
          <w:rFonts w:cs="Liberation Serif" w:ascii="Liberation Serif" w:hAnsi="Liberation Serif"/>
          <w:b/>
          <w:color w:val="000000"/>
          <w:highlight w:val="white"/>
          <w:lang w:eastAsia="ru-RU"/>
        </w:rPr>
      </w:r>
    </w:p>
    <w:tbl>
      <w:tblPr>
        <w:tblW w:w="10212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61"/>
        <w:gridCol w:w="4259"/>
        <w:gridCol w:w="2270"/>
        <w:gridCol w:w="3121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b/>
                <w:lang w:eastAsia="ru-RU"/>
              </w:rPr>
            </w:pPr>
            <w:r>
              <w:rPr>
                <w:rFonts w:cs="Liberation Serif" w:ascii="Liberation Serif" w:hAnsi="Liberation Serif"/>
                <w:b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  <w:lang w:eastAsia="ru-RU"/>
              </w:rPr>
              <w:t>п/п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  <w:lang w:eastAsia="ru-RU"/>
              </w:rPr>
              <w:t>Профилактические мероприятия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lang w:eastAsia="ru-RU"/>
              </w:rPr>
            </w:pPr>
            <w:r>
              <w:rPr>
                <w:rFonts w:cs="Liberation Serif" w:ascii="Liberation Serif" w:hAnsi="Liberation Serif"/>
                <w:b/>
                <w:lang w:eastAsia="ru-RU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  <w:lang w:eastAsia="ru-RU"/>
              </w:rPr>
              <w:t>Периодичность проведения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  <w:lang w:eastAsia="ru-RU"/>
              </w:rPr>
              <w:t>Структурное подразделение администрации, ответственное за реализацию</w:t>
            </w:r>
          </w:p>
        </w:tc>
      </w:tr>
      <w:tr>
        <w:trPr/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Размещение на официальном сайте городского округа Верхнее Дуброво в информационно-телекоммуникационной сети «Интернет» по адресу: www.vdubrovo.ru актуальной информации: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cs="Liberation Serif" w:ascii="Liberation Serif" w:hAnsi="Liberation Serif"/>
                <w:lang w:eastAsia="ru-RU"/>
              </w:rPr>
              <w:t>постоянно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Экономико-правовой отдел</w:t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cs="Liberation Serif" w:ascii="Liberation Serif" w:hAnsi="Liberation Serif"/>
                <w:lang w:eastAsia="ru-RU"/>
              </w:rPr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поддерживать в актуальном состоянии</w:t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FF6600"/>
                <w:lang w:eastAsia="ru-RU"/>
              </w:rPr>
            </w:pPr>
            <w:r>
              <w:rPr>
                <w:rFonts w:cs="Liberation Serif" w:ascii="Liberation Serif" w:hAnsi="Liberation Serif"/>
                <w:color w:val="FF6600"/>
                <w:lang w:eastAsia="ru-RU"/>
              </w:rPr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" w:hAnsi="Liberation Serif" w:cs="Liberation Serif"/>
                <w:color w:val="FF6600"/>
                <w:lang w:eastAsia="ar-SA"/>
              </w:rPr>
            </w:pPr>
            <w:r>
              <w:rPr>
                <w:rFonts w:cs="Liberation Serif" w:ascii="Liberation Serif" w:hAnsi="Liberation Serif"/>
                <w:color w:val="FF6600"/>
                <w:lang w:eastAsia="ar-SA"/>
              </w:rPr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по мере необходимости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Экономико-правовой отдел</w:t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cs="Liberation Serif" w:ascii="Liberation Serif" w:hAnsi="Liberation Serif"/>
                <w:lang w:eastAsia="ar-SA"/>
              </w:rPr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поддерживать в актуальном состоянии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Экономико-правовой отдел</w:t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cs="Liberation Serif" w:ascii="Liberation Serif" w:hAnsi="Liberation Serif"/>
                <w:lang w:eastAsia="ar-SA"/>
              </w:rPr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cs="Liberation Serif" w:ascii="Liberation Serif" w:hAnsi="Liberation Serif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Экономико-правовой отдел</w:t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" w:hAnsi="Liberation Serif" w:cs="Liberation Serif"/>
                <w:color w:val="FF6600"/>
                <w:lang w:eastAsia="ar-SA"/>
              </w:rPr>
            </w:pPr>
            <w:r>
              <w:rPr>
                <w:rFonts w:cs="Liberation Serif" w:ascii="Liberation Serif" w:hAnsi="Liberation Serif"/>
                <w:color w:val="FF6600"/>
                <w:lang w:eastAsia="ar-SA"/>
              </w:rPr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Экономико-правовой отдел</w:t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" w:hAnsi="Liberation Serif" w:cs="Liberation Serif"/>
                <w:color w:val="FF6600"/>
                <w:lang w:eastAsia="ar-SA"/>
              </w:rPr>
            </w:pPr>
            <w:r>
              <w:rPr>
                <w:rFonts w:cs="Liberation Serif" w:ascii="Liberation Serif" w:hAnsi="Liberation Serif"/>
                <w:color w:val="FF6600"/>
                <w:lang w:eastAsia="ar-SA"/>
              </w:rPr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cs="Liberation Serif" w:ascii="Liberation Serif" w:hAnsi="Liberation Serif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в течение 2024 года, поддерживать в актуальном состоянии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Экономико-правовой отдел</w:t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cs="Liberation Serif" w:ascii="Liberation Serif" w:hAnsi="Liberation Serif"/>
                <w:lang w:eastAsia="ar-SA"/>
              </w:rPr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cs="Liberation Serif" w:ascii="Liberation Serif" w:hAnsi="Liberation Serif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в течение 2024 года, поддерживать в актуальном состоянии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Экономико-правовой отдел</w:t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cs="Liberation Serif" w:ascii="Liberation Serif" w:hAnsi="Liberation Serif"/>
                <w:lang w:eastAsia="ar-SA"/>
              </w:rPr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cs="Liberation Serif" w:ascii="Liberation Serif" w:hAnsi="Liberation Serif"/>
                <w:lang w:eastAsia="ru-RU"/>
              </w:rPr>
              <w:t>в срок до 3 дней со дня утверждения доклада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Экономико-правовой отдел</w:t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cs="Liberation Serif" w:ascii="Liberation Serif" w:hAnsi="Liberation Serif"/>
                <w:lang w:eastAsia="ar-SA"/>
              </w:rPr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в срок до 3 дней со дня утверждения доклада (не позднее 15 марта 2025 года)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Отдел земельно-имущественных отношений и строительства и экономико-правовой отдел</w:t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cs="Liberation Serif" w:ascii="Liberation Serif" w:hAnsi="Liberation Serif"/>
                <w:lang w:eastAsia="ar-SA"/>
              </w:rPr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письменные разъяснения, подписанные уполномоченным должностным лицом;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Отдел земельно-имущественных отношений и строительства и экономико-правовой отдел</w:t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cs="Liberation Serif" w:ascii="Liberation Serif" w:hAnsi="Liberation Serif"/>
                <w:lang w:eastAsia="ar-SA"/>
              </w:rPr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Программы профилактики на 2026 год.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не позднее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1 ноября 2025 года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Отдел земельно-имущественных отношений и строительства и экономико-правовой отдел</w:t>
            </w:r>
          </w:p>
        </w:tc>
      </w:tr>
      <w:tr>
        <w:trPr/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посредством: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cs="Liberation Serif" w:ascii="Liberation Serif" w:hAnsi="Liberation Serif"/>
                <w:lang w:eastAsia="ru-RU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Отдел земельно-имущественных отношений и строительства</w:t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cs="Liberation Serif" w:ascii="Liberation Serif" w:hAnsi="Liberation Serif"/>
                <w:lang w:eastAsia="ru-RU"/>
              </w:rPr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публикаций в средствах массовой информации;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в течение 2025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Отдел земельно-имущественных отношений и строительства</w:t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cs="Liberation Serif" w:ascii="Liberation Serif" w:hAnsi="Liberation Serif"/>
                <w:lang w:eastAsia="ru-RU"/>
              </w:rPr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публикаций на официальном сайте городского округа Верхнее Дуброво в информационно-телекоммуникационной сети «Интернет» по адресу: www.vdubrovo.ru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в течение 2025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Отдел земельно-имущественных отношений и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Обобщение контрольным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не позднее 1 марта 2026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Отдел земельно-имущественных отношений и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Отдел земельно-имущественных отношений и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Отдел земельно-имущественных отношений и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не реже чем 2 раза в год (I и IV квартал 2025 года)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Отдел земельно-имущественных отношений и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7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Разработка и утверждение Программы 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Верхнее Дуброво на 2023 год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не позднее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1 октября 2025 года (разработка);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не позднее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1 ноября 2025 года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cs="Liberation Serif" w:ascii="Liberation Serif" w:hAnsi="Liberation Serif"/>
                <w:lang w:eastAsia="ru-RU"/>
              </w:rPr>
              <w:t>(утверждение)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lang w:eastAsia="ru-RU"/>
              </w:rPr>
              <w:t>Отдел земельно-имущественных отношений и строительства и экономико-правовой отдел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Liberation Serif" w:hAnsi="Liberation Serif" w:cs="Liberation Serif"/>
          <w:b/>
        </w:rPr>
      </w:pPr>
      <w:r>
        <w:rPr>
          <w:rFonts w:cs="Liberation Serif" w:ascii="Liberation Serif" w:hAnsi="Liberation Serif"/>
          <w:b/>
        </w:rPr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cs="Liberation Serif" w:ascii="Liberation Serif" w:hAnsi="Liberation Serif"/>
          <w:b/>
        </w:rPr>
        <w:t>Раздел</w:t>
      </w:r>
      <w:r>
        <w:rPr>
          <w:rFonts w:cs="Liberation Serif" w:ascii="Liberation Serif" w:hAnsi="Liberation Serif"/>
          <w:color w:val="22272F"/>
          <w:shd w:fill="FFFFFF" w:val="clear"/>
        </w:rPr>
        <w:t xml:space="preserve"> </w:t>
      </w:r>
      <w:r>
        <w:rPr>
          <w:rFonts w:cs="Liberation Serif" w:ascii="Liberation Serif" w:hAnsi="Liberation Serif"/>
          <w:b/>
          <w:color w:val="000000"/>
          <w:shd w:fill="FFFFFF" w:val="clear"/>
        </w:rPr>
        <w:t>4. Показатели результативности и эффективности Программы</w:t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erif" w:hAnsi="Liberation Serif" w:cs="Liberation Serif"/>
          <w:b/>
          <w:color w:val="000000"/>
          <w:highlight w:val="white"/>
        </w:rPr>
      </w:pPr>
      <w:r>
        <w:rPr>
          <w:rFonts w:cs="Liberation Serif" w:ascii="Liberation Serif" w:hAnsi="Liberation Serif"/>
          <w:b/>
          <w:color w:val="000000"/>
          <w:highlight w:val="white"/>
        </w:rPr>
      </w:r>
    </w:p>
    <w:tbl>
      <w:tblPr>
        <w:tblW w:w="10226" w:type="dxa"/>
        <w:jc w:val="left"/>
        <w:tblInd w:w="-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90"/>
        <w:gridCol w:w="7924"/>
        <w:gridCol w:w="1712"/>
      </w:tblGrid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</w:rPr>
              <w:t>п/п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</w:rPr>
              <w:t>Наименование показателя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</w:rPr>
              <w:t>Величина</w:t>
            </w:r>
          </w:p>
        </w:tc>
      </w:tr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</w:rPr>
              <w:t>1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ConsPlusNormal"/>
              <w:ind w:hanging="2" w:left="121" w:right="107"/>
              <w:rPr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hanging="2" w:left="121" w:right="107"/>
              <w:jc w:val="center"/>
              <w:rPr/>
            </w:pPr>
            <w:r>
              <w:rPr>
                <w:rFonts w:cs="Liberation Serif" w:ascii="Liberation Serif" w:hAnsi="Liberation Serif"/>
              </w:rPr>
              <w:t>100 %</w:t>
            </w:r>
          </w:p>
        </w:tc>
      </w:tr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</w:rPr>
              <w:t>2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hanging="2" w:left="121" w:right="107"/>
              <w:rPr/>
            </w:pPr>
            <w:r>
              <w:rPr>
                <w:rFonts w:cs="Liberation Serif" w:ascii="Liberation Serif" w:hAnsi="Liberation Serif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hanging="2" w:left="121" w:right="107"/>
              <w:jc w:val="center"/>
              <w:rPr/>
            </w:pPr>
            <w:r>
              <w:rPr>
                <w:rFonts w:cs="Liberation Serif" w:ascii="Liberation Serif" w:hAnsi="Liberation Serif"/>
              </w:rPr>
              <w:t>Исполнено / Не исполнено</w:t>
            </w:r>
          </w:p>
        </w:tc>
      </w:tr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highlight w:val="white"/>
              </w:rPr>
              <w:t>3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ConsPlusNormal"/>
              <w:ind w:hanging="2" w:left="121" w:right="107"/>
              <w:jc w:val="both"/>
              <w:rPr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hanging="2" w:left="121" w:right="107"/>
              <w:jc w:val="center"/>
              <w:rPr/>
            </w:pPr>
            <w:r>
              <w:rPr>
                <w:rFonts w:cs="Liberation Serif" w:ascii="Liberation Serif" w:hAnsi="Liberation Serif"/>
              </w:rPr>
              <w:t>20 % и более</w:t>
            </w:r>
          </w:p>
        </w:tc>
      </w:tr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220"/>
              <w:rPr/>
            </w:pPr>
            <w:r>
              <w:rPr>
                <w:rFonts w:cs="Liberation Serif" w:ascii="Liberation Serif" w:hAnsi="Liberation Serif"/>
                <w:color w:val="000000"/>
                <w:highlight w:val="white"/>
              </w:rPr>
              <w:t>4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2" w:left="121" w:right="107"/>
              <w:jc w:val="both"/>
              <w:rPr/>
            </w:pPr>
            <w:r>
              <w:rPr>
                <w:rFonts w:cs="Liberation Serif" w:ascii="Liberation Serif" w:hAnsi="Liberation Serif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2" w:left="121" w:right="107"/>
              <w:jc w:val="center"/>
              <w:rPr/>
            </w:pPr>
            <w:r>
              <w:rPr>
                <w:rFonts w:cs="Liberation Serif" w:ascii="Liberation Serif" w:hAnsi="Liberation Serif"/>
              </w:rPr>
              <w:t>100 %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/>
      </w:r>
    </w:p>
    <w:sectPr>
      <w:type w:val="nextPage"/>
      <w:pgSz w:w="11906" w:h="16838"/>
      <w:pgMar w:left="1134" w:right="567" w:gutter="0" w:header="0" w:top="680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Liberation Serif" w:hAnsi="Liberation Serif" w:cs="Liberation Serif"/>
    </w:rPr>
  </w:style>
  <w:style w:type="character" w:styleId="WW8Num3z0" w:customStyle="1">
    <w:name w:val="WW8Num3z0"/>
    <w:qFormat/>
    <w:rPr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8" w:customStyle="1">
    <w:name w:val="Основной шрифт абзаца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cs="Liberation Serif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7" w:customStyle="1">
    <w:name w:val="Основной шрифт абзаца7"/>
    <w:qFormat/>
    <w:rPr/>
  </w:style>
  <w:style w:type="character" w:styleId="WW8Num2z1" w:customStyle="1">
    <w:name w:val="WW8Num2z1"/>
    <w:qFormat/>
    <w:rPr>
      <w:rFonts w:ascii="Liberation Serif" w:hAnsi="Liberation Serif" w:cs="Liberation Serif"/>
      <w:sz w:val="28"/>
      <w:szCs w:val="28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WW8Num13z0" w:customStyle="1">
    <w:name w:val="WW8Num13z0"/>
    <w:qFormat/>
    <w:rPr>
      <w:rFonts w:ascii="Liberation Serif" w:hAnsi="Liberation Serif" w:cs="Liberation Serif"/>
      <w:sz w:val="26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Liberation Serif" w:hAnsi="Liberation Serif" w:cs="Liberation Serif"/>
      <w:sz w:val="26"/>
      <w:szCs w:val="28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Liberation Serif" w:hAnsi="Liberation Serif" w:cs="Liberation Serif"/>
      <w:sz w:val="26"/>
      <w:szCs w:val="26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Liberation Serif" w:hAnsi="Liberation Serif" w:cs="Liberation Serif"/>
      <w:sz w:val="26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Liberation Serif" w:hAnsi="Liberation Serif" w:cs="Liberation Serif"/>
      <w:sz w:val="26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Style13" w:customStyle="1">
    <w:name w:val="Текст сноски Знак"/>
    <w:qFormat/>
    <w:rPr>
      <w:sz w:val="20"/>
      <w:szCs w:val="20"/>
    </w:rPr>
  </w:style>
  <w:style w:type="character" w:styleId="SubtleEmphasis">
    <w:name w:val="Subtle Emphasis"/>
    <w:qFormat/>
    <w:rPr>
      <w:rFonts w:eastAsia="Times New Roman" w:cs="Times New Roman"/>
      <w:bCs w:val="false"/>
      <w:i/>
      <w:iCs/>
      <w:color w:val="808080"/>
      <w:szCs w:val="22"/>
      <w:lang w:val="ru-RU"/>
    </w:rPr>
  </w:style>
  <w:style w:type="character" w:styleId="Style14" w:customStyle="1">
    <w:name w:val="Верхний колонтитул Знак"/>
    <w:basedOn w:val="1"/>
    <w:qFormat/>
    <w:rPr/>
  </w:style>
  <w:style w:type="character" w:styleId="Style15" w:customStyle="1">
    <w:name w:val="Нижний колонтитул Знак"/>
    <w:basedOn w:val="1"/>
    <w:qFormat/>
    <w:rPr/>
  </w:style>
  <w:style w:type="character" w:styleId="Style16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31" w:customStyle="1">
    <w:name w:val="Основной текст с отступом 3 Знак"/>
    <w:qFormat/>
    <w:rPr>
      <w:rFonts w:ascii="Times New Roman" w:hAnsi="Times New Roman" w:eastAsia="Times New Roman" w:cs="Times New Roman"/>
      <w:sz w:val="16"/>
      <w:szCs w:val="16"/>
    </w:rPr>
  </w:style>
  <w:style w:type="character" w:styleId="32" w:customStyle="1">
    <w:name w:val="Основной текст 3 Знак"/>
    <w:qFormat/>
    <w:rPr>
      <w:rFonts w:ascii="Times New Roman" w:hAnsi="Times New Roman" w:eastAsia="Times New Roman" w:cs="Times New Roman"/>
      <w:sz w:val="16"/>
      <w:szCs w:val="16"/>
    </w:rPr>
  </w:style>
  <w:style w:type="character" w:styleId="11" w:customStyle="1">
    <w:name w:val="Заголовок 1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eastAsia="zh-CN"/>
    </w:rPr>
  </w:style>
  <w:style w:type="character" w:styleId="12" w:customStyle="1">
    <w:name w:val="Гиперссылка1"/>
    <w:qFormat/>
    <w:rPr>
      <w:color w:val="0563C1"/>
      <w:u w:val="single"/>
    </w:rPr>
  </w:style>
  <w:style w:type="character" w:styleId="13" w:customStyle="1">
    <w:name w:val="Неразрешенное упоминание1"/>
    <w:qFormat/>
    <w:rPr>
      <w:color w:val="605E5C"/>
      <w:shd w:fill="E1DFDD" w:val="clear"/>
    </w:rPr>
  </w:style>
  <w:style w:type="character" w:styleId="Emphasis">
    <w:name w:val="Emphasis"/>
    <w:qFormat/>
    <w:rPr>
      <w:i/>
      <w:iCs/>
    </w:rPr>
  </w:style>
  <w:style w:type="character" w:styleId="ConsPlusNormal1" w:customStyle="1">
    <w:name w:val="ConsPlusNormal1"/>
    <w:qFormat/>
    <w:rPr>
      <w:sz w:val="28"/>
      <w:lang w:eastAsia="zh-CN"/>
    </w:rPr>
  </w:style>
  <w:style w:type="character" w:styleId="HTML" w:customStyle="1">
    <w:name w:val="Стандартный HTML Знак"/>
    <w:qFormat/>
    <w:rPr>
      <w:rFonts w:ascii="Courier New" w:hAnsi="Courier New" w:cs="Courier New"/>
      <w:lang w:val="x-none"/>
    </w:rPr>
  </w:style>
  <w:style w:type="character" w:styleId="Style17" w:customStyle="1">
    <w:name w:val="Абзац списка Знак"/>
    <w:qFormat/>
    <w:rPr>
      <w:rFonts w:ascii="Calibri" w:hAnsi="Calibri" w:cs="Calibri"/>
      <w:sz w:val="22"/>
      <w:szCs w:val="22"/>
      <w:lang w:eastAsia="zh-CN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81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2" w:customStyle="1">
    <w:name w:val="Указатель8"/>
    <w:basedOn w:val="Normal"/>
    <w:qFormat/>
    <w:pPr>
      <w:suppressLineNumbers/>
    </w:pPr>
    <w:rPr>
      <w:rFonts w:cs="Lucida Sans"/>
    </w:rPr>
  </w:style>
  <w:style w:type="paragraph" w:styleId="71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72" w:customStyle="1">
    <w:name w:val="Название объекта7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3" w:customStyle="1">
    <w:name w:val="Указатель7"/>
    <w:basedOn w:val="Normal"/>
    <w:qFormat/>
    <w:pPr>
      <w:suppressLineNumbers/>
    </w:pPr>
    <w:rPr>
      <w:rFonts w:cs="Lucida Sans"/>
    </w:rPr>
  </w:style>
  <w:style w:type="paragraph" w:styleId="61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2" w:customStyle="1">
    <w:name w:val="Название объекта6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3" w:customStyle="1">
    <w:name w:val="Указатель6"/>
    <w:basedOn w:val="Normal"/>
    <w:qFormat/>
    <w:pPr>
      <w:suppressLineNumbers/>
    </w:pPr>
    <w:rPr>
      <w:rFonts w:cs="Arial"/>
    </w:rPr>
  </w:style>
  <w:style w:type="paragraph" w:styleId="51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52" w:customStyle="1">
    <w:name w:val="Название объекта5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3" w:customStyle="1">
    <w:name w:val="Указатель5"/>
    <w:basedOn w:val="Normal"/>
    <w:qFormat/>
    <w:pPr>
      <w:suppressLineNumbers/>
    </w:pPr>
    <w:rPr>
      <w:rFonts w:cs="Arial"/>
    </w:rPr>
  </w:style>
  <w:style w:type="paragraph" w:styleId="41" w:customStyle="1">
    <w:name w:val="Заголовок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42" w:customStyle="1">
    <w:name w:val="Название объекта4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43" w:customStyle="1">
    <w:name w:val="Указатель4"/>
    <w:basedOn w:val="Normal"/>
    <w:qFormat/>
    <w:pPr>
      <w:suppressLineNumbers/>
    </w:pPr>
    <w:rPr>
      <w:rFonts w:cs="Arial"/>
    </w:rPr>
  </w:style>
  <w:style w:type="paragraph" w:styleId="33" w:customStyle="1">
    <w:name w:val="Заголовок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34" w:customStyle="1">
    <w:name w:val="Название объе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5" w:customStyle="1">
    <w:name w:val="Указатель3"/>
    <w:basedOn w:val="Normal"/>
    <w:qFormat/>
    <w:pPr>
      <w:suppressLineNumbers/>
    </w:pPr>
    <w:rPr>
      <w:rFonts w:cs="Arial"/>
    </w:rPr>
  </w:style>
  <w:style w:type="paragraph" w:styleId="21" w:customStyle="1">
    <w:name w:val="Заголовок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2" w:customStyle="1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3" w:customStyle="1">
    <w:name w:val="Указатель2"/>
    <w:basedOn w:val="Normal"/>
    <w:qFormat/>
    <w:pPr>
      <w:suppressLineNumbers/>
    </w:pPr>
    <w:rPr>
      <w:rFonts w:cs="Arial"/>
    </w:rPr>
  </w:style>
  <w:style w:type="paragraph" w:styleId="14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6" w:customStyle="1">
    <w:name w:val="Указатель1"/>
    <w:basedOn w:val="Normal"/>
    <w:qFormat/>
    <w:pPr>
      <w:suppressLineNumbers/>
    </w:pPr>
    <w:rPr>
      <w:rFonts w:cs="Arial"/>
    </w:rPr>
  </w:style>
  <w:style w:type="paragraph" w:styleId="DecimalAligned" w:customStyle="1">
    <w:name w:val="Decimal Aligned"/>
    <w:basedOn w:val="Normal"/>
    <w:qFormat/>
    <w:pPr/>
    <w:rPr/>
  </w:style>
  <w:style w:type="paragraph" w:styleId="FootnoteText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Style20" w:customStyle="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311" w:customStyle="1">
    <w:name w:val="Основной текст с отступом 31"/>
    <w:basedOn w:val="Normal"/>
    <w:qFormat/>
    <w:pPr>
      <w:spacing w:lineRule="auto" w:line="240" w:before="0" w:after="120"/>
      <w:ind w:left="283"/>
    </w:pPr>
    <w:rPr>
      <w:rFonts w:ascii="Times New Roman" w:hAnsi="Times New Roman" w:cs="Times New Roman"/>
      <w:sz w:val="16"/>
      <w:szCs w:val="16"/>
    </w:rPr>
  </w:style>
  <w:style w:type="paragraph" w:styleId="312" w:customStyle="1">
    <w:name w:val="Основной текст 31"/>
    <w:basedOn w:val="Normal"/>
    <w:qFormat/>
    <w:pPr>
      <w:spacing w:lineRule="auto" w:line="240" w:before="0" w:after="120"/>
    </w:pPr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24" w:customStyle="1">
    <w:name w:val="Основной текст (2)"/>
    <w:basedOn w:val="Normal"/>
    <w:qFormat/>
    <w:pPr>
      <w:widowControl w:val="false"/>
      <w:shd w:val="clear" w:color="auto" w:fill="FFFFFF"/>
      <w:spacing w:lineRule="exact" w:line="274" w:before="240" w:after="240"/>
      <w:jc w:val="both"/>
    </w:pPr>
    <w:rPr>
      <w:rFonts w:ascii="Times New Roman" w:hAnsi="Times New Roman" w:cs="Times New Roman"/>
      <w:sz w:val="20"/>
      <w:szCs w:val="20"/>
      <w:lang w:val="x-none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zh-CN" w:bidi="ar-SA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zh-CN" w:bidi="ar-SA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0"/>
      <w:lang w:val="ru-RU" w:eastAsia="zh-CN" w:bidi="ar-SA"/>
    </w:rPr>
  </w:style>
  <w:style w:type="paragraph" w:styleId="ConsPlusJurTerm" w:customStyle="1">
    <w:name w:val="ConsPlusJurTerm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val="ru-RU" w:eastAsia="zh-CN" w:bidi="ar-SA"/>
    </w:rPr>
  </w:style>
  <w:style w:type="paragraph" w:styleId="ConsPlusTextList" w:customStyle="1">
    <w:name w:val="ConsPlusTextLis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zh-CN" w:bidi="ar-SA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cs="Times New Roman"/>
      <w:sz w:val="20"/>
      <w:szCs w:val="20"/>
      <w:lang w:val="x-none"/>
    </w:rPr>
  </w:style>
  <w:style w:type="paragraph" w:styleId="17" w:customStyle="1">
    <w:name w:val="Основной текст1"/>
    <w:basedOn w:val="Normal"/>
    <w:qFormat/>
    <w:pPr>
      <w:shd w:val="clear" w:color="auto" w:fill="FFFFFF"/>
      <w:spacing w:lineRule="exact" w:line="206" w:before="0" w:after="180"/>
      <w:jc w:val="both"/>
    </w:pPr>
    <w:rPr>
      <w:rFonts w:eastAsia="Calibri"/>
      <w:sz w:val="17"/>
      <w:szCs w:val="17"/>
      <w:lang w:val="x-none"/>
    </w:rPr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numbering" w:styleId="Style24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LibreOffice/24.8.3.2$Windows_X86_64 LibreOffice_project/48a6bac9e7e268aeb4c3483fcf825c94556d9f92</Application>
  <AppVersion>15.0000</AppVersion>
  <Pages>6</Pages>
  <Words>1924</Words>
  <Characters>14848</Characters>
  <CharactersWithSpaces>16632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2023-09-14T07:10:00Z</dcterms:created>
  <dc:creator>Васюткина</dc:creator>
  <dc:description/>
  <dc:language>ru-RU</dc:language>
  <cp:lastModifiedBy/>
  <cp:lastPrinted>2024-09-27T14:26:43Z</cp:lastPrinted>
  <dcterms:modified xsi:type="dcterms:W3CDTF">2024-11-22T11:04:23Z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