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spacing w:before="0" w:after="0"/>
        <w:jc w:val="center"/>
        <w:rPr>
          <w:rFonts w:ascii="Liberation Serif" w:hAnsi="Liberation Serif" w:cs="Liberation Serif"/>
          <w:b/>
          <w:sz w:val="10"/>
          <w:szCs w:val="10"/>
        </w:rPr>
      </w:pPr>
      <w:r>
        <w:rPr/>
        <w:drawing>
          <wp:inline distT="0" distB="0" distL="0" distR="0">
            <wp:extent cx="755650" cy="120078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-95" t="-60" r="-95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Liberation Serif" w:hAnsi="Liberation Serif" w:cs="Liberation Serif"/>
          <w:b/>
          <w:sz w:val="10"/>
          <w:szCs w:val="10"/>
        </w:rPr>
      </w:pPr>
      <w:r>
        <w:rPr>
          <w:rFonts w:cs="Liberation Serif" w:ascii="Liberation Serif" w:hAnsi="Liberation Serif"/>
          <w:b/>
          <w:sz w:val="10"/>
          <w:szCs w:val="10"/>
        </w:rPr>
      </w:r>
      <w:bookmarkStart w:id="0" w:name="Par1"/>
      <w:bookmarkStart w:id="1" w:name="Par1"/>
      <w:bookmarkEnd w:id="1"/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28"/>
          <w:szCs w:val="28"/>
        </w:rPr>
        <w:t xml:space="preserve">АДМИНИСТРАЦИЯ 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28"/>
          <w:szCs w:val="28"/>
        </w:rPr>
        <w:t>ГОРОДСКОГО ОКРУГА ВЕРХНЕЕ ДУБРОВО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32"/>
          <w:szCs w:val="32"/>
        </w:rPr>
        <w:t>ПОСТАНОВЛЕНИЕ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sz w:val="32"/>
          <w:u w:val="double"/>
        </w:rPr>
        <w:t>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bookmarkStart w:id="2" w:name="_Hlk45001434"/>
      <w:bookmarkStart w:id="3" w:name="_Hlk45542224"/>
      <w:r>
        <w:rPr>
          <w:rFonts w:cs="Liberation Serif" w:ascii="Liberation Serif" w:hAnsi="Liberation Serif"/>
          <w:sz w:val="20"/>
        </w:rPr>
        <w:t xml:space="preserve">от </w:t>
      </w:r>
      <w:r>
        <w:rPr>
          <w:rFonts w:cs="Liberation Serif" w:ascii="Liberation Serif" w:hAnsi="Liberation Serif"/>
          <w:sz w:val="20"/>
        </w:rPr>
        <w:t>24</w:t>
      </w:r>
      <w:r>
        <w:rPr>
          <w:rFonts w:cs="Liberation Serif" w:ascii="Liberation Serif" w:hAnsi="Liberation Serif"/>
          <w:sz w:val="20"/>
        </w:rPr>
        <w:t xml:space="preserve"> октября 2024 года № </w:t>
      </w:r>
      <w:bookmarkEnd w:id="2"/>
      <w:bookmarkEnd w:id="3"/>
      <w:r>
        <w:rPr>
          <w:rFonts w:cs="Liberation Serif" w:ascii="Liberation Serif" w:hAnsi="Liberation Serif"/>
          <w:sz w:val="20"/>
        </w:rPr>
        <w:t>350-4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10"/>
          <w:szCs w:val="10"/>
        </w:rPr>
      </w:pPr>
      <w:r>
        <w:rPr>
          <w:rFonts w:cs="Liberation Serif" w:ascii="Liberation Serif" w:hAnsi="Liberation Serif"/>
          <w:sz w:val="10"/>
          <w:szCs w:val="10"/>
        </w:rPr>
      </w:r>
    </w:p>
    <w:p>
      <w:pPr>
        <w:pStyle w:val="Normal"/>
        <w:spacing w:lineRule="auto" w:line="240" w:before="0" w:after="0"/>
        <w:rPr/>
      </w:pPr>
      <w:r>
        <w:rPr>
          <w:rFonts w:cs="Liberation Serif" w:ascii="Liberation Serif" w:hAnsi="Liberation Serif"/>
          <w:sz w:val="20"/>
        </w:rPr>
        <w:t>пгт Верхнее Дуброво</w:t>
      </w:r>
    </w:p>
    <w:p>
      <w:pPr>
        <w:pStyle w:val="Normal"/>
        <w:spacing w:lineRule="auto" w:line="240" w:before="0" w:after="0"/>
        <w:ind w:firstLine="284"/>
        <w:jc w:val="center"/>
        <w:rPr>
          <w:rFonts w:ascii="Liberation Serif" w:hAnsi="Liberation Serif" w:cs="Liberation Serif"/>
          <w:b/>
          <w:bCs/>
          <w:i/>
          <w:i/>
          <w:sz w:val="32"/>
          <w:szCs w:val="32"/>
        </w:rPr>
      </w:pPr>
      <w:r>
        <w:rPr>
          <w:rFonts w:cs="Liberation Serif" w:ascii="Liberation Serif" w:hAnsi="Liberation Serif"/>
          <w:b/>
          <w:bCs/>
          <w:i/>
          <w:sz w:val="32"/>
          <w:szCs w:val="32"/>
        </w:rPr>
      </w:r>
    </w:p>
    <w:p>
      <w:pPr>
        <w:pStyle w:val="312"/>
        <w:spacing w:before="0" w:after="0"/>
        <w:jc w:val="center"/>
        <w:rPr/>
      </w:pPr>
      <w:r>
        <w:rPr>
          <w:rFonts w:cs="Liberation Serif" w:ascii="Liberation Serif" w:hAnsi="Liberation Serif"/>
          <w:b/>
          <w:i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городского округа Верхнее Дуброво 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  <w:i/>
          <w:i/>
          <w:sz w:val="24"/>
          <w:szCs w:val="24"/>
        </w:rPr>
      </w:pPr>
      <w:r>
        <w:rPr>
          <w:rFonts w:cs="Liberation Serif" w:ascii="Liberation Serif" w:hAnsi="Liberation Serif"/>
          <w:b/>
          <w:i/>
          <w:sz w:val="24"/>
          <w:szCs w:val="24"/>
        </w:rPr>
      </w:r>
    </w:p>
    <w:p>
      <w:pPr>
        <w:pStyle w:val="312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 xml:space="preserve">В соответствии со статьей 44 Федерального закона от 31 июля 2020 года № 248-ФЗ </w:t>
        <w:br/>
        <w:t>«О государственном контроле (надзоре) и муниципальном контроле в Российской Федерации», статьей 17.1 Федерального закона от 06 октября 2003 года № 131-ФЗ «Об общих принципах организации местного самоуправления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 июня 2021 года № 990, Положением о муниципальном контроле в сфере благоустройства на территории городского округа Верхнее Дуброво, утверждённым решением Думы городского округа Верхнее Дуброво</w:t>
      </w:r>
      <w:r>
        <w:rPr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от 19 августа 2021 года № 620, и на основании Протокола проведения общественных обсуждений от 15 октября 2024 года № </w:t>
      </w:r>
      <w:r>
        <w:rPr>
          <w:rFonts w:cs="Liberation Serif" w:ascii="Liberation Serif" w:hAnsi="Liberation Serif"/>
          <w:sz w:val="24"/>
          <w:szCs w:val="24"/>
        </w:rPr>
        <w:t>8</w:t>
      </w:r>
    </w:p>
    <w:p>
      <w:pPr>
        <w:pStyle w:val="Normal"/>
        <w:spacing w:lineRule="auto" w:line="240" w:before="0" w:after="0"/>
        <w:ind w:firstLine="708" w:left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ind w:firstLine="1701"/>
        <w:jc w:val="both"/>
        <w:rPr/>
      </w:pPr>
      <w:r>
        <w:rPr>
          <w:rFonts w:cs="Liberation Serif" w:ascii="Liberation Serif" w:hAnsi="Liberation Serif"/>
          <w:bCs/>
          <w:sz w:val="24"/>
          <w:szCs w:val="24"/>
        </w:rPr>
        <w:t>ПОСТАНОВЛЯЮ: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</w:r>
    </w:p>
    <w:p>
      <w:pPr>
        <w:pStyle w:val="312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городского округа Верхнее Дуброво (прилагается).</w:t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2. Опубликовать настоящее постановление в «Информационном бюллетене городского округа Верхнее Дуброво» и разместить на официальном сайте городского округа Верхнее Дуброво в информационно-телекоммуникационной сети «Интернет» по адресу: www.vdubrovo.ru.</w:t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 xml:space="preserve">3. Контроль за исполнением настоящего постановления возложить на начальника экономико-правового отдела Администрации городского округа Верхнее Дуброво Бровченко Павла Борисовича.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Liberation Serif" w:ascii="Liberation Serif" w:hAnsi="Liberation Serif"/>
          <w:sz w:val="24"/>
          <w:szCs w:val="24"/>
        </w:rPr>
        <w:t>Глава городского округа                                                                                                      В.К. Конопкин</w:t>
      </w:r>
      <w:r>
        <w:br w:type="page"/>
      </w:r>
    </w:p>
    <w:p>
      <w:pPr>
        <w:pStyle w:val="Normal"/>
        <w:spacing w:lineRule="auto" w:line="240" w:before="0" w:after="0"/>
        <w:ind w:left="7371"/>
        <w:rPr/>
      </w:pPr>
      <w:r>
        <w:rPr>
          <w:rFonts w:cs="Liberation Serif" w:ascii="Liberation Serif" w:hAnsi="Liberation Serif"/>
        </w:rPr>
        <w:t>УТВЕРЖДЕНА</w:t>
      </w:r>
    </w:p>
    <w:p>
      <w:pPr>
        <w:pStyle w:val="Normal"/>
        <w:spacing w:lineRule="auto" w:line="240" w:before="0" w:after="0"/>
        <w:ind w:left="6521"/>
        <w:rPr/>
      </w:pPr>
      <w:r>
        <w:rPr>
          <w:rFonts w:cs="Liberation Serif" w:ascii="Liberation Serif" w:hAnsi="Liberation Serif"/>
        </w:rPr>
        <w:t xml:space="preserve">постановлением Администрации городского округа Верхнее Дуброво </w:t>
      </w:r>
    </w:p>
    <w:p>
      <w:pPr>
        <w:pStyle w:val="Normal"/>
        <w:spacing w:lineRule="auto" w:line="240" w:before="0" w:after="0"/>
        <w:ind w:left="6521"/>
        <w:rPr/>
      </w:pPr>
      <w:r>
        <w:rPr>
          <w:rFonts w:cs="Liberation Serif" w:ascii="Liberation Serif" w:hAnsi="Liberation Serif"/>
        </w:rPr>
        <w:t xml:space="preserve">от </w:t>
      </w:r>
      <w:r>
        <w:rPr>
          <w:rFonts w:cs="Liberation Serif" w:ascii="Liberation Serif" w:hAnsi="Liberation Serif"/>
        </w:rPr>
        <w:t>24</w:t>
      </w:r>
      <w:r>
        <w:rPr>
          <w:rFonts w:cs="Liberation Serif" w:ascii="Liberation Serif" w:hAnsi="Liberation Serif"/>
        </w:rPr>
        <w:t xml:space="preserve"> октября 2024 года № </w:t>
      </w:r>
      <w:r>
        <w:rPr>
          <w:rFonts w:cs="Liberation Serif" w:ascii="Liberation Serif" w:hAnsi="Liberation Serif"/>
        </w:rPr>
        <w:t>350-4</w:t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i/>
        </w:rPr>
        <w:t xml:space="preserve">ПРОГРАММА ПРОФИЛАКТИКИ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/>
          <w:i/>
        </w:rPr>
      </w:pPr>
      <w:r>
        <w:rPr>
          <w:rFonts w:cs="Liberation Serif" w:ascii="Liberation Serif" w:hAnsi="Liberation Serif"/>
          <w:b/>
          <w:i/>
        </w:rPr>
        <w:t xml:space="preserve">рисков причинения вреда (ущерба) охраняемым законом ценностям на 2025 год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/>
          <w:i/>
        </w:rPr>
      </w:pPr>
      <w:r>
        <w:rPr>
          <w:rFonts w:cs="Liberation Serif" w:ascii="Liberation Serif" w:hAnsi="Liberation Serif"/>
          <w:b/>
          <w:i/>
        </w:rPr>
        <w:t xml:space="preserve">в рамках муниципального контроля в сфере благоустройства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/>
          <w:i/>
        </w:rPr>
      </w:pPr>
      <w:r>
        <w:rPr>
          <w:rFonts w:cs="Liberation Serif" w:ascii="Liberation Serif" w:hAnsi="Liberation Serif"/>
          <w:b/>
          <w:i/>
        </w:rPr>
        <w:t>на территории городского округа Верхнее Дуброво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/>
          <w:i/>
        </w:rPr>
      </w:pPr>
      <w:r>
        <w:rPr>
          <w:rFonts w:cs="Liberation Serif" w:ascii="Liberation Serif" w:hAnsi="Liberation Serif"/>
          <w:b/>
          <w:i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городского округа Верхнее Дуброво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Настоящая Программа разработана и подлежит исполнению Администрацией городского округа Верхнее Дуброво (далее по тексту – администрация).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</w:rPr>
        <w:t>Раздел 1. Анализ текущего состояния осуществления муниципального контроля</w:t>
      </w:r>
      <w:r>
        <w:rPr/>
        <w:t xml:space="preserve"> </w:t>
      </w:r>
      <w:r>
        <w:rPr>
          <w:rFonts w:cs="Liberation Serif" w:ascii="Liberation Serif" w:hAnsi="Liberation Serif"/>
          <w:b/>
        </w:rPr>
        <w:t>в сфере благоустройства, описание текущего развития профилактической деятельности органа контроля,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1.1. Вид муниципального контроля: муниципальный контроль</w:t>
      </w:r>
      <w:r>
        <w:rPr/>
        <w:t xml:space="preserve"> </w:t>
      </w:r>
      <w:r>
        <w:rPr>
          <w:rFonts w:cs="Liberation Serif" w:ascii="Liberation Serif" w:hAnsi="Liberation Serif"/>
        </w:rPr>
        <w:t>в сфере благоустройства.</w:t>
      </w:r>
    </w:p>
    <w:p>
      <w:pPr>
        <w:pStyle w:val="ConsPlusNormal"/>
        <w:ind w:firstLine="426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1.2. Предметом муниципального контроля в сфере благоустройства является соблюдение гражданами и организациями Правил благоустройства территории городского округа Верхнее Дуброво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1.3. Объектами муниципального контроля в сфере благоустройства являются:</w:t>
      </w:r>
    </w:p>
    <w:p>
      <w:pPr>
        <w:pStyle w:val="ConsPlusNormal"/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>
      <w:pPr>
        <w:pStyle w:val="ConsPlusNormal"/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>
      <w:pPr>
        <w:pStyle w:val="ConsPlusNormal"/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>
      <w:pPr>
        <w:pStyle w:val="ConsPlusNormal"/>
        <w:ind w:firstLine="426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1.4. С учетом требований части 7 статьи 22 и части 2 статьи 61 Закона № 248-ФЗ система оценки и управления рисками причинения вреда (ущерба) охраняемым законом ценностям при осуществлении муниципального контроля в сфере благоустройства не применяется.</w:t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1.5. Муниципальный контроль в сфере благоустройства осуществляется Администрацией городского округа Верхнее Дуброво в лице общего отдела Администрации городского округа Верхнее Дуброво (далее – Администрация, орган муниципального контроля, контрольный орган).</w:t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1.6. 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1.7. 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1) размещение на официальном сайте городского округа Верхнее Дуброво в информационно-телекоммуникационной сети «Интернет» по адресу: www.vdubrovo.ru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3) обеспечение регулярного обобщения практики осуществления муниципального   контроля и размещение на официальном сайте городского округа Верхнее Дуброво в информационно-телекоммуникационной сети «Интернет» по адресу: www.vdubrovo.ru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</w:rPr>
        <w:t xml:space="preserve">Раздел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1)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2)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3)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4) определение перечня видов и сбор статистических данных, необходимых для организации профилактической работы;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5) повышение квалификации кадрового состава контрольно-надзорного органа;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6) снижение уровня административной нагрузки на организации и граждан, осуществляющих предпринимательскую деятельность;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7)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8) другие задачи в зависимости от выявленных проблем в регулируемой сфере и текущего состояния профилактической работы.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В положении о виде контроля с</w:t>
      </w:r>
      <w:r>
        <w:rPr>
          <w:rFonts w:cs="Liberation Serif" w:ascii="Liberation Serif" w:hAnsi="Liberation Serif"/>
          <w:shd w:fill="FFFFFF" w:val="clear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(часть 1 статьи 51 Федерального закона от 31 июля 2020 года </w:t>
        <w:br/>
        <w:t>№ 248-ФЗ «О государственном контроле (надзоре) и муниципальном контроле в Российской Федерации»).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  <w:color w:val="000000"/>
          <w:highlight w:val="white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Liberation Serif" w:ascii="Liberation Serif" w:hAnsi="Liberation Serif"/>
          <w:b/>
        </w:rPr>
        <w:t xml:space="preserve">Раздел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3. Перечень профилактических мероприятий, сроки (периодичность) их проведения</w:t>
      </w:r>
    </w:p>
    <w:p>
      <w:pPr>
        <w:pStyle w:val="Normal"/>
        <w:suppressAutoHyphens w:val="false"/>
        <w:spacing w:lineRule="exact" w:line="220" w:before="0" w:after="0"/>
        <w:ind w:firstLine="425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cs="Liberation Serif" w:ascii="Liberation Serif" w:hAnsi="Liberation Serif"/>
          <w:bCs/>
          <w:lang w:eastAsia="ru-RU"/>
        </w:rPr>
        <w:t>Контрольный орган проводит следующие профилактические мероприятия:</w:t>
      </w:r>
    </w:p>
    <w:p>
      <w:pPr>
        <w:pStyle w:val="Normal"/>
        <w:suppressAutoHyphens w:val="false"/>
        <w:spacing w:lineRule="exact" w:line="220" w:before="0" w:after="0"/>
        <w:ind w:firstLine="425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cs="Liberation Serif" w:ascii="Liberation Serif" w:hAnsi="Liberation Serif"/>
          <w:bCs/>
          <w:lang w:eastAsia="ru-RU"/>
        </w:rPr>
        <w:t>1) информирование;</w:t>
      </w:r>
    </w:p>
    <w:p>
      <w:pPr>
        <w:pStyle w:val="Normal"/>
        <w:suppressAutoHyphens w:val="false"/>
        <w:spacing w:lineRule="exact" w:line="220" w:before="0" w:after="0"/>
        <w:ind w:firstLine="425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cs="Liberation Serif" w:ascii="Liberation Serif" w:hAnsi="Liberation Serif"/>
          <w:bCs/>
          <w:lang w:eastAsia="ru-RU"/>
        </w:rPr>
        <w:t>2) консультирование;</w:t>
      </w:r>
    </w:p>
    <w:p>
      <w:pPr>
        <w:pStyle w:val="Normal"/>
        <w:suppressAutoHyphens w:val="false"/>
        <w:spacing w:lineRule="exact" w:line="220" w:before="0" w:after="0"/>
        <w:ind w:firstLine="425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cs="Liberation Serif" w:ascii="Liberation Serif" w:hAnsi="Liberation Serif"/>
          <w:bCs/>
          <w:lang w:eastAsia="ru-RU"/>
        </w:rPr>
        <w:t>3) обобщение правоприменительной практики;</w:t>
      </w:r>
    </w:p>
    <w:p>
      <w:pPr>
        <w:pStyle w:val="Normal"/>
        <w:suppressAutoHyphens w:val="false"/>
        <w:spacing w:lineRule="exact" w:line="220" w:before="0" w:after="0"/>
        <w:ind w:firstLine="425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cs="Liberation Serif" w:ascii="Liberation Serif" w:hAnsi="Liberation Serif"/>
          <w:bCs/>
          <w:lang w:eastAsia="ru-RU"/>
        </w:rPr>
        <w:t>4)объявление предостережения.</w:t>
      </w:r>
    </w:p>
    <w:p>
      <w:pPr>
        <w:sectPr>
          <w:type w:val="nextPage"/>
          <w:pgSz w:w="11906" w:h="16838"/>
          <w:pgMar w:left="1134" w:right="567" w:gutter="0" w:header="0" w:top="680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false"/>
        <w:spacing w:lineRule="exact" w:line="220" w:before="0" w:after="0"/>
        <w:ind w:firstLine="425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cs="Liberation Serif" w:ascii="Liberation Serif" w:hAnsi="Liberation Serif"/>
          <w:bCs/>
          <w:lang w:eastAsia="ru-RU"/>
        </w:rPr>
        <w:t xml:space="preserve">3.1. Информирование осуществляется посредством размещения органом муниципального контроля, уполномоченным в сфере благоустройства, соответствующих сведений на официальном сайте Управления,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 46 </w:t>
      </w:r>
      <w:r>
        <w:rPr>
          <w:rFonts w:cs="Liberation Serif" w:ascii="Liberation Serif" w:hAnsi="Liberation Serif"/>
          <w:shd w:fill="FFFFFF" w:val="clear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cs="Liberation Serif" w:ascii="Liberation Serif" w:hAnsi="Liberation Serif"/>
          <w:bCs/>
          <w:lang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firstLine="426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cs="Liberation Serif" w:ascii="Liberation Serif" w:hAnsi="Liberation Serif"/>
          <w:bCs/>
          <w:lang w:eastAsia="ru-RU"/>
        </w:rPr>
        <w:t>3.2. 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благоустройства, в том числе о местонахождении и графике работы контрольного органа, реквизитах нормативных правовых актов, регламентирующих осуществление муниципального контроля в сфере благоустройства, о порядке и ходе осуществления муниципального контроля в сфере благоустройства.</w:t>
      </w:r>
    </w:p>
    <w:p>
      <w:pPr>
        <w:pStyle w:val="Normal"/>
        <w:suppressAutoHyphens w:val="false"/>
        <w:spacing w:lineRule="auto" w:line="240" w:before="0" w:after="0"/>
        <w:ind w:firstLine="426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cs="Liberation Serif" w:ascii="Liberation Serif" w:hAnsi="Liberation Serif"/>
          <w:bCs/>
          <w:lang w:eastAsia="ru-RU"/>
        </w:rPr>
        <w:t>3.3. Орган муниципального контроля осуществляет обобщение правоприменительной практики и проведения муниципального контроля.</w:t>
      </w:r>
    </w:p>
    <w:p>
      <w:pPr>
        <w:pStyle w:val="Normal"/>
        <w:suppressAutoHyphens w:val="false"/>
        <w:spacing w:lineRule="auto" w:line="240" w:before="0" w:after="0"/>
        <w:ind w:firstLine="426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cs="Liberation Serif" w:ascii="Liberation Serif" w:hAnsi="Liberation Serif"/>
          <w:bCs/>
          <w:lang w:eastAsia="ru-RU"/>
        </w:rPr>
        <w:t>3.4.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hanging="0" w:left="0"/>
        <w:outlineLvl w:val="0"/>
        <w:rPr>
          <w:rFonts w:ascii="Liberation Serif" w:hAnsi="Liberation Serif" w:cs="Liberation Serif"/>
          <w:bCs/>
          <w:lang w:eastAsia="ru-RU"/>
        </w:rPr>
      </w:pPr>
      <w:r>
        <w:rPr>
          <w:rFonts w:cs="Liberation Serif" w:ascii="Liberation Serif" w:hAnsi="Liberation Serif"/>
          <w:bCs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hanging="0" w:left="0"/>
        <w:jc w:val="center"/>
        <w:outlineLvl w:val="0"/>
        <w:rPr>
          <w:rFonts w:ascii="Liberation Serif" w:hAnsi="Liberation Serif" w:cs="Liberation Serif"/>
          <w:b/>
          <w:bCs/>
          <w:lang w:eastAsia="ru-RU"/>
        </w:rPr>
      </w:pPr>
      <w:r>
        <w:rPr>
          <w:rFonts w:cs="Liberation Serif" w:ascii="Liberation Serif" w:hAnsi="Liberation Serif"/>
          <w:b/>
          <w:bCs/>
          <w:lang w:eastAsia="ru-RU"/>
        </w:rPr>
        <w:t>ПЕРЕЧЕНЬ ПРОФИЛАКТИЧЕСКИХ МЕРОПРИЯТИЙ, СРОКИ (ПЕРИОДИЧНОСТЬ) ИХ ПРОВЕДЕНИЯ</w:t>
      </w:r>
    </w:p>
    <w:p>
      <w:pPr>
        <w:pStyle w:val="Normal"/>
        <w:suppressAutoHyphens w:val="false"/>
        <w:spacing w:lineRule="auto" w:line="240" w:before="0" w:after="0"/>
        <w:rPr>
          <w:rFonts w:ascii="Liberation Serif" w:hAnsi="Liberation Serif" w:cs="Liberation Serif"/>
          <w:bCs/>
          <w:lang w:eastAsia="ru-RU"/>
        </w:rPr>
      </w:pPr>
      <w:r>
        <w:rPr>
          <w:rFonts w:cs="Liberation Serif" w:ascii="Liberation Serif" w:hAnsi="Liberation Serif"/>
          <w:bCs/>
          <w:lang w:eastAsia="ru-RU"/>
        </w:rPr>
      </w:r>
    </w:p>
    <w:tbl>
      <w:tblPr>
        <w:tblW w:w="15735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3"/>
        <w:gridCol w:w="2352"/>
        <w:gridCol w:w="7512"/>
        <w:gridCol w:w="2551"/>
        <w:gridCol w:w="2697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 xml:space="preserve">№ </w:t>
            </w:r>
            <w:r>
              <w:rPr>
                <w:rFonts w:cs="Liberation Serif" w:ascii="Liberation Serif" w:hAnsi="Liberation Serif"/>
                <w:bCs/>
                <w:lang w:eastAsia="ru-RU"/>
              </w:rPr>
              <w:t>п/п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Вид профилактического мероприятия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Программа профилактики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Программное мероприятие в рамках вида профилактического мероприятия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Ответственное лицо контрольного органа</w:t>
            </w:r>
          </w:p>
        </w:tc>
      </w:tr>
      <w:tr>
        <w:trPr/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/>
                <w:bCs/>
                <w:lang w:eastAsia="ru-RU"/>
              </w:rPr>
              <w:t>Обязательные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Информирование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гражданами и организациями: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-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- тексты нормативных правовых актов, регулирующих осуществление муниципального контроля;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- руководства по соблюдению обязательных требований;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- доклады, содержащие результаты обобщения правоприменительной практики;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- доклад о муниципальном контроле;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-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 и (или) программами профилактики рисков причинения вреда;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Ожидаемые результаты проведения мероприятий - повышение информированности контролируемых лиц о действующих обязательных требованиях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Постоянно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5735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3"/>
        <w:gridCol w:w="2352"/>
        <w:gridCol w:w="7512"/>
        <w:gridCol w:w="2551"/>
        <w:gridCol w:w="2697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Консультирование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1. Консультирование, в том числе письменное, осуществляется Органом муниципального контроля по вопросам соблюдения обязательных требований гражданами и организациями: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2. 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3. Консультирование осуществляется должностными лицами органа муниципального контроля, уполномоченного в сфере благоустройства, по телефону, посредством видео-конференц-связи, на личном приеме ежемесячно в сроки, определенные руководителем органа муниципального контроля, уполномоченного в сфере благоустройства, либо в ходе проведения профилактического мероприятия, контрольного мероприятия.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4.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5. 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письменного разъяснения, подписанного руководителем (заместителем руководителя) органа муниципального контроля, уполномоченного в сфере благоустройства.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Ожидаемые результаты проведения мероприятий - повышение информированности контролируемых лиц о действующих обязательных требованиях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По мере поступления обращений контролируемых лиц и их представителей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3.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1.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Доклад о правоприменительной практике).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2. Для подготовки доклада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3. Ожидаемые результаты проведения мероприятий - повышение юридической грамотности контролируемых лиц, способствование к добросовестности и повышению их ответственности, а также снижению количества совершаемых правонарушений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1 раз в год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4.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Объявление предостережения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1.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2. Контролируемое лицо вправе после получения предостережения подать в орган муниципального контроля возражение в отношении указанного предостережения.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3. 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орган муниципального контроля направляет контролируемому лицу ответ, в котором указывает обоснование несогласия с доводами, указанными в возражении.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4. 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222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Ожидаемые результаты проведения мероприятий - стимулирование добросовестного исполнения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lang w:eastAsia="ru-RU"/>
              </w:rPr>
              <w:t>В течение года (по мере необходимости)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</w:rPr>
        <w:t>Раздел</w:t>
      </w:r>
      <w:r>
        <w:rPr>
          <w:rFonts w:cs="Liberation Serif" w:ascii="Liberation Serif" w:hAnsi="Liberation Serif"/>
          <w:color w:val="22272F"/>
          <w:shd w:fill="FFFFFF" w:val="clear"/>
        </w:rPr>
        <w:t xml:space="preserve">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  <w:color w:val="000000"/>
          <w:highlight w:val="white"/>
        </w:rPr>
      </w:r>
    </w:p>
    <w:tbl>
      <w:tblPr>
        <w:tblW w:w="15744" w:type="dxa"/>
        <w:jc w:val="left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87"/>
        <w:gridCol w:w="13585"/>
        <w:gridCol w:w="1572"/>
      </w:tblGrid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п/п</w:t>
            </w:r>
          </w:p>
        </w:tc>
        <w:tc>
          <w:tcPr>
            <w:tcW w:w="13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Величина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12" w:right="9"/>
              <w:jc w:val="center"/>
              <w:rPr/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13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ind w:hanging="2" w:left="121" w:right="107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100 %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12" w:right="9"/>
              <w:jc w:val="center"/>
              <w:rPr/>
            </w:pPr>
            <w:r>
              <w:rPr>
                <w:rFonts w:cs="Liberation Serif" w:ascii="Liberation Serif" w:hAnsi="Liberation Serif"/>
              </w:rPr>
              <w:t>2</w:t>
            </w:r>
          </w:p>
        </w:tc>
        <w:tc>
          <w:tcPr>
            <w:tcW w:w="1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rPr/>
            </w:pPr>
            <w:r>
              <w:rPr>
                <w:rFonts w:cs="Liberation Serif" w:ascii="Liberation Serif" w:hAnsi="Liberation Serif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Исполнено / Не исполнено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12" w:right="9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  <w:t>3</w:t>
            </w:r>
          </w:p>
        </w:tc>
        <w:tc>
          <w:tcPr>
            <w:tcW w:w="1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hanging="2" w:left="121" w:right="107"/>
              <w:jc w:val="both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20% и более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12" w:right="9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  <w:t>4</w:t>
            </w:r>
          </w:p>
        </w:tc>
        <w:tc>
          <w:tcPr>
            <w:tcW w:w="1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2" w:left="121" w:right="107"/>
              <w:jc w:val="both"/>
              <w:rPr/>
            </w:pPr>
            <w:r>
              <w:rPr>
                <w:rFonts w:cs="Liberation Serif" w:ascii="Liberation Serif" w:hAnsi="Liberation Serif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Liberation Serif" w:hAnsi="Liberation Serif" w:cs="Liberation Serif"/>
    </w:rPr>
  </w:style>
  <w:style w:type="character" w:styleId="WW8Num3z0" w:customStyle="1">
    <w:name w:val="WW8Num3z0"/>
    <w:qFormat/>
    <w:rPr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8" w:customStyle="1">
    <w:name w:val="Основной шрифт абзаца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cs="Liberation Serif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7" w:customStyle="1">
    <w:name w:val="Основной шрифт абзаца7"/>
    <w:qFormat/>
    <w:rPr/>
  </w:style>
  <w:style w:type="character" w:styleId="WW8Num2z1" w:customStyle="1">
    <w:name w:val="WW8Num2z1"/>
    <w:qFormat/>
    <w:rPr>
      <w:rFonts w:ascii="Liberation Serif" w:hAnsi="Liberation Serif" w:cs="Liberation Serif"/>
      <w:sz w:val="28"/>
      <w:szCs w:val="28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3z0" w:customStyle="1">
    <w:name w:val="WW8Num13z0"/>
    <w:qFormat/>
    <w:rPr>
      <w:rFonts w:ascii="Liberation Serif" w:hAnsi="Liberation Serif" w:cs="Liberation Serif"/>
      <w:sz w:val="26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Liberation Serif" w:hAnsi="Liberation Serif" w:cs="Liberation Serif"/>
      <w:sz w:val="26"/>
      <w:szCs w:val="28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Liberation Serif" w:hAnsi="Liberation Serif" w:cs="Liberation Serif"/>
      <w:sz w:val="26"/>
      <w:szCs w:val="26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Liberation Serif" w:hAnsi="Liberation Serif" w:cs="Liberation Serif"/>
      <w:sz w:val="26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Liberation Serif" w:hAnsi="Liberation Serif" w:cs="Liberation Serif"/>
      <w:sz w:val="26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Текст сноски Знак"/>
    <w:qFormat/>
    <w:rPr>
      <w:sz w:val="20"/>
      <w:szCs w:val="20"/>
    </w:rPr>
  </w:style>
  <w:style w:type="character" w:styleId="SubtleEmphasis">
    <w:name w:val="Subtle Emphasis"/>
    <w:qFormat/>
    <w:rPr>
      <w:rFonts w:eastAsia="Times New Roman" w:cs="Times New Roman"/>
      <w:bCs w:val="false"/>
      <w:i/>
      <w:iCs/>
      <w:color w:val="808080"/>
      <w:szCs w:val="22"/>
      <w:lang w:val="ru-RU"/>
    </w:rPr>
  </w:style>
  <w:style w:type="character" w:styleId="Style14" w:customStyle="1">
    <w:name w:val="Верхний колонтитул Знак"/>
    <w:basedOn w:val="1"/>
    <w:qFormat/>
    <w:rPr/>
  </w:style>
  <w:style w:type="character" w:styleId="Style15" w:customStyle="1">
    <w:name w:val="Нижний колонтитул Знак"/>
    <w:basedOn w:val="1"/>
    <w:qFormat/>
    <w:rPr/>
  </w:style>
  <w:style w:type="character" w:styleId="Style1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31" w:customStyle="1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32" w:customStyle="1">
    <w:name w:val="Основной текст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11" w:customStyle="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InternetLink" w:customStyle="1">
    <w:name w:val="Internet Link"/>
    <w:qFormat/>
    <w:rPr>
      <w:color w:val="0563C1"/>
      <w:u w:val="single"/>
    </w:rPr>
  </w:style>
  <w:style w:type="character" w:styleId="Style17" w:customStyle="1">
    <w:name w:val="Неразрешенное упоминание"/>
    <w:qFormat/>
    <w:rPr>
      <w:color w:val="605E5C"/>
      <w:shd w:fill="E1DFDD" w:val="clear"/>
    </w:rPr>
  </w:style>
  <w:style w:type="character" w:styleId="Emphasis">
    <w:name w:val="Emphasis"/>
    <w:qFormat/>
    <w:rPr>
      <w:i/>
      <w:iCs/>
    </w:rPr>
  </w:style>
  <w:style w:type="character" w:styleId="ConsPlusNormal1" w:customStyle="1">
    <w:name w:val="ConsPlusNormal1"/>
    <w:qFormat/>
    <w:rPr>
      <w:sz w:val="28"/>
      <w:lang w:eastAsia="zh-CN"/>
    </w:rPr>
  </w:style>
  <w:style w:type="character" w:styleId="HTML" w:customStyle="1">
    <w:name w:val="Стандартный HTML Знак"/>
    <w:qFormat/>
    <w:rPr>
      <w:rFonts w:ascii="Courier New" w:hAnsi="Courier New" w:cs="Courier New"/>
      <w:lang w:val="x-none"/>
    </w:rPr>
  </w:style>
  <w:style w:type="character" w:styleId="Style18" w:customStyle="1">
    <w:name w:val="Абзац списка Знак"/>
    <w:qFormat/>
    <w:rPr>
      <w:rFonts w:ascii="Calibri" w:hAnsi="Calibri" w:cs="Calibri"/>
      <w:sz w:val="22"/>
      <w:szCs w:val="22"/>
      <w:lang w:eastAsia="zh-CN"/>
    </w:rPr>
  </w:style>
  <w:style w:type="character" w:styleId="InternetLink1">
    <w:name w:val="Internet Link1"/>
    <w:basedOn w:val="DefaultParagraphFont"/>
    <w:uiPriority w:val="99"/>
    <w:unhideWhenUsed/>
    <w:qFormat/>
    <w:rsid w:val="00c5321c"/>
    <w:rPr>
      <w:color w:themeColor="hyperlink" w:val="0563C1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81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2" w:customStyle="1">
    <w:name w:val="Указатель8"/>
    <w:basedOn w:val="Normal"/>
    <w:qFormat/>
    <w:pPr>
      <w:suppressLineNumbers/>
    </w:pPr>
    <w:rPr>
      <w:rFonts w:cs="Lucida Sans"/>
    </w:rPr>
  </w:style>
  <w:style w:type="paragraph" w:styleId="71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72" w:customStyle="1">
    <w:name w:val="Название объекта7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3" w:customStyle="1">
    <w:name w:val="Указатель7"/>
    <w:basedOn w:val="Normal"/>
    <w:qFormat/>
    <w:pPr>
      <w:suppressLineNumbers/>
    </w:pPr>
    <w:rPr>
      <w:rFonts w:cs="Lucida Sans"/>
    </w:rPr>
  </w:style>
  <w:style w:type="paragraph" w:styleId="61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2" w:customStyle="1">
    <w:name w:val="Название объекта6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3" w:customStyle="1">
    <w:name w:val="Указатель6"/>
    <w:basedOn w:val="Normal"/>
    <w:qFormat/>
    <w:pPr>
      <w:suppressLineNumbers/>
    </w:pPr>
    <w:rPr>
      <w:rFonts w:cs="Arial"/>
    </w:rPr>
  </w:style>
  <w:style w:type="paragraph" w:styleId="51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52" w:customStyle="1">
    <w:name w:val="Название объекта5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3" w:customStyle="1">
    <w:name w:val="Указатель5"/>
    <w:basedOn w:val="Normal"/>
    <w:qFormat/>
    <w:pPr>
      <w:suppressLineNumbers/>
    </w:pPr>
    <w:rPr>
      <w:rFonts w:cs="Arial"/>
    </w:rPr>
  </w:style>
  <w:style w:type="paragraph" w:styleId="41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42" w:customStyle="1">
    <w:name w:val="Название объекта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43" w:customStyle="1">
    <w:name w:val="Указатель4"/>
    <w:basedOn w:val="Normal"/>
    <w:qFormat/>
    <w:pPr>
      <w:suppressLineNumbers/>
    </w:pPr>
    <w:rPr>
      <w:rFonts w:cs="Arial"/>
    </w:rPr>
  </w:style>
  <w:style w:type="paragraph" w:styleId="33" w:customStyle="1">
    <w:name w:val="Заголовок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34" w:customStyle="1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5" w:customStyle="1">
    <w:name w:val="Указатель3"/>
    <w:basedOn w:val="Normal"/>
    <w:qFormat/>
    <w:pPr>
      <w:suppressLineNumbers/>
    </w:pPr>
    <w:rPr>
      <w:rFonts w:cs="Arial"/>
    </w:rPr>
  </w:style>
  <w:style w:type="paragraph" w:styleId="21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 w:customStyle="1">
    <w:name w:val="Указатель2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DecimalAligned" w:customStyle="1">
    <w:name w:val="Decimal Aligned"/>
    <w:basedOn w:val="Normal"/>
    <w:qFormat/>
    <w:pPr/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21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11" w:customStyle="1">
    <w:name w:val="Основной текст с отступом 31"/>
    <w:basedOn w:val="Normal"/>
    <w:qFormat/>
    <w:pPr>
      <w:spacing w:lineRule="auto" w:line="240" w:before="0"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312" w:customStyle="1">
    <w:name w:val="Основной текст 31"/>
    <w:basedOn w:val="Normal"/>
    <w:qFormat/>
    <w:pPr>
      <w:spacing w:lineRule="auto" w:line="240" w:before="0" w:after="120"/>
    </w:pPr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24" w:customStyle="1">
    <w:name w:val="Основной текст (2)"/>
    <w:basedOn w:val="Normal"/>
    <w:qFormat/>
    <w:pPr>
      <w:widowControl w:val="false"/>
      <w:shd w:val="clear" w:color="auto" w:fill="FFFFFF"/>
      <w:spacing w:lineRule="exact" w:line="274" w:before="240" w:after="240"/>
      <w:jc w:val="both"/>
    </w:pPr>
    <w:rPr>
      <w:rFonts w:ascii="Times New Roman" w:hAnsi="Times New Roman" w:cs="Times New Roman"/>
      <w:sz w:val="20"/>
      <w:szCs w:val="20"/>
      <w:lang w:val="x-none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0"/>
      <w:lang w:val="ru-RU" w:eastAsia="zh-CN" w:bidi="ar-SA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zh-CN" w:bidi="ar-SA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Times New Roman"/>
      <w:sz w:val="20"/>
      <w:szCs w:val="20"/>
      <w:lang w:val="x-none"/>
    </w:rPr>
  </w:style>
  <w:style w:type="paragraph" w:styleId="15" w:customStyle="1">
    <w:name w:val="Основной текст1"/>
    <w:basedOn w:val="Normal"/>
    <w:qFormat/>
    <w:pPr>
      <w:shd w:val="clear" w:color="auto" w:fill="FFFFFF"/>
      <w:spacing w:lineRule="exact" w:line="206" w:before="0" w:after="180"/>
      <w:jc w:val="both"/>
    </w:pPr>
    <w:rPr>
      <w:rFonts w:eastAsia="Calibri"/>
      <w:sz w:val="17"/>
      <w:szCs w:val="17"/>
      <w:lang w:val="x-none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LibreOffice/24.8.3.2$Windows_X86_64 LibreOffice_project/48a6bac9e7e268aeb4c3483fcf825c94556d9f92</Application>
  <AppVersion>15.0000</AppVersion>
  <Pages>7</Pages>
  <Words>2050</Words>
  <Characters>15972</Characters>
  <CharactersWithSpaces>18017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2023-09-14T06:41:00Z</dcterms:created>
  <dc:creator>Васюткина</dc:creator>
  <dc:description/>
  <dc:language>ru-RU</dc:language>
  <cp:lastModifiedBy/>
  <cp:lastPrinted>1995-11-21T12:41:00Z</cp:lastPrinted>
  <dcterms:modified xsi:type="dcterms:W3CDTF">2024-11-22T11:10:17Z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