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2B" w:rsidRDefault="00B5332B" w:rsidP="00B5332B">
      <w:pPr>
        <w:spacing w:after="0" w:line="240" w:lineRule="auto"/>
        <w:ind w:left="6372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1F5644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9C0832">
        <w:rPr>
          <w:rFonts w:ascii="Liberation Serif" w:hAnsi="Liberation Serif" w:cs="Liberation Serif"/>
          <w:sz w:val="28"/>
          <w:szCs w:val="28"/>
        </w:rPr>
        <w:t>4</w:t>
      </w:r>
    </w:p>
    <w:p w:rsidR="00B5332B" w:rsidRDefault="00B5332B" w:rsidP="00B5332B">
      <w:pPr>
        <w:spacing w:after="0" w:line="240" w:lineRule="auto"/>
        <w:ind w:left="7510" w:firstLine="278"/>
        <w:rPr>
          <w:rFonts w:ascii="Liberation Serif" w:hAnsi="Liberation Serif" w:cs="Liberation Serif"/>
          <w:sz w:val="28"/>
          <w:szCs w:val="28"/>
        </w:rPr>
      </w:pPr>
    </w:p>
    <w:p w:rsidR="00B5332B" w:rsidRDefault="00B5332B" w:rsidP="00B5332B">
      <w:pPr>
        <w:spacing w:after="0" w:line="240" w:lineRule="auto"/>
        <w:ind w:left="708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УТВЕРЖДЕНО</w:t>
      </w:r>
    </w:p>
    <w:p w:rsidR="00033E78" w:rsidRPr="00CE350A" w:rsidRDefault="00B5332B" w:rsidP="004C4AEC">
      <w:pPr>
        <w:spacing w:after="0" w:line="240" w:lineRule="auto"/>
        <w:ind w:left="4111"/>
        <w:jc w:val="both"/>
        <w:rPr>
          <w:rFonts w:ascii="Liberation Serif" w:hAnsi="Liberation Serif" w:cs="Liberation Serif"/>
          <w:sz w:val="28"/>
          <w:szCs w:val="28"/>
        </w:rPr>
      </w:pPr>
      <w:r w:rsidRPr="001F5644">
        <w:rPr>
          <w:rFonts w:ascii="Liberation Serif" w:hAnsi="Liberation Serif" w:cs="Liberation Serif"/>
          <w:sz w:val="28"/>
          <w:szCs w:val="28"/>
        </w:rPr>
        <w:t>приказ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1F5644">
        <w:rPr>
          <w:rFonts w:ascii="Liberation Serif" w:hAnsi="Liberation Serif" w:cs="Liberation Serif"/>
          <w:sz w:val="28"/>
          <w:szCs w:val="28"/>
        </w:rPr>
        <w:t xml:space="preserve"> Департамента по охране, контролю и регулированию использования животного мира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C4AEC">
        <w:rPr>
          <w:rFonts w:ascii="Liberation Serif" w:hAnsi="Liberation Serif" w:cs="Liberation Serif"/>
          <w:sz w:val="28"/>
          <w:szCs w:val="28"/>
        </w:rPr>
        <w:br/>
      </w:r>
      <w:r w:rsidR="00033E78" w:rsidRPr="00F530AB">
        <w:rPr>
          <w:rFonts w:ascii="Liberation Serif" w:hAnsi="Liberation Serif" w:cs="Liberation Serif"/>
          <w:sz w:val="28"/>
          <w:szCs w:val="28"/>
        </w:rPr>
        <w:t xml:space="preserve">от </w:t>
      </w:r>
      <w:r w:rsidR="00A84790">
        <w:rPr>
          <w:rFonts w:ascii="Liberation Serif" w:hAnsi="Liberation Serif" w:cs="Liberation Serif"/>
          <w:sz w:val="28"/>
          <w:szCs w:val="28"/>
        </w:rPr>
        <w:t>12.12.2024</w:t>
      </w:r>
      <w:r w:rsidR="00033E78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033E78" w:rsidRPr="00F530AB">
        <w:rPr>
          <w:rFonts w:ascii="Liberation Serif" w:hAnsi="Liberation Serif" w:cs="Liberation Serif"/>
          <w:sz w:val="28"/>
          <w:szCs w:val="28"/>
        </w:rPr>
        <w:t xml:space="preserve">№ </w:t>
      </w:r>
      <w:r w:rsidR="00A84790">
        <w:rPr>
          <w:rFonts w:ascii="Liberation Serif" w:hAnsi="Liberation Serif" w:cs="Liberation Serif"/>
          <w:sz w:val="28"/>
          <w:szCs w:val="28"/>
        </w:rPr>
        <w:t>441</w:t>
      </w:r>
    </w:p>
    <w:p w:rsidR="00D06ACE" w:rsidRPr="00407C71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D06ACE" w:rsidP="00D06ACE">
      <w:pPr>
        <w:pStyle w:val="a4"/>
        <w:spacing w:before="0" w:beforeAutospacing="0"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515E6" w:rsidRPr="00D515E6" w:rsidRDefault="00D515E6" w:rsidP="00D06ACE">
      <w:pPr>
        <w:pStyle w:val="a4"/>
        <w:spacing w:before="0" w:beforeAutospacing="0"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D515E6">
        <w:rPr>
          <w:rFonts w:ascii="Liberation Serif" w:hAnsi="Liberation Serif"/>
          <w:b/>
          <w:bCs/>
          <w:sz w:val="28"/>
          <w:szCs w:val="28"/>
        </w:rPr>
        <w:t xml:space="preserve">Руководство по соблюдению обязательных требований в области охоты </w:t>
      </w:r>
      <w:r w:rsidRPr="00D515E6">
        <w:rPr>
          <w:rFonts w:ascii="Liberation Serif" w:hAnsi="Liberation Serif"/>
          <w:b/>
          <w:bCs/>
          <w:sz w:val="28"/>
          <w:szCs w:val="28"/>
        </w:rPr>
        <w:br/>
        <w:t>и сохранения охотничьих ресурсов при проведении мероприятий по регулированию численности охотничьих ресурсов, соблюдение которых оценивается Департаментом по охране, контролю и регулированию использования животного мира Свердловской области при осуществлении федерального государственного охотничьего контроля (надзора)</w:t>
      </w:r>
    </w:p>
    <w:p w:rsidR="00D515E6" w:rsidRDefault="00D515E6" w:rsidP="00D06ACE">
      <w:pPr>
        <w:pStyle w:val="a4"/>
        <w:spacing w:before="0" w:beforeAutospacing="0" w:after="0" w:line="240" w:lineRule="auto"/>
        <w:jc w:val="center"/>
      </w:pPr>
      <w:bookmarkStart w:id="0" w:name="_GoBack"/>
      <w:bookmarkEnd w:id="0"/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Настоящее руководство разработано в соответствии с требованиями Федерального закона от 31 июля 2020 года № 248-ФЗ «О государственном контроле (надзоре) и муниципальном контроле в Российской Федерации» и имеет целью оказание юридическим лицам и индивидуальным предпринимателям, информационно-методической поддержки в вопросах соблюдения обязательных требований, установленных законодательством Российской Федерации в области осуществления мероприятий по регулированию численности. 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D06ACE" w:rsidP="00D06ACE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I. Нормативные правовые акты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Федеральный закон от 24 апреля 1995 года № 52-ФЗ «О животном мире»;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2) Федеральный закон</w:t>
      </w:r>
      <w:r>
        <w:rPr>
          <w:rFonts w:ascii="Liberation Serif" w:hAnsi="Liberation Serif"/>
          <w:sz w:val="28"/>
          <w:szCs w:val="28"/>
        </w:rPr>
        <w:t xml:space="preserve"> от 24 июля 2009 года № 209-ФЗ «Об охоте и о сохранении охотничьих ресурсов и о внесении изменений в отдельные законодательные акты Российской Федерации»;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3) Приказ Минприроды России от 03.08.2021 № 533 «Об утверждении Порядка регулирования органами исполнительной власти субъектов Российской Федерации численности охотничьих ресурсов, за исключением охотничьих ресурсов, находящихся на особо охраняемых природных территориях федерального значения, и о внесении изменений в Порядок принятия решения о регулировании численности охотничьих ресурсов, Форму решения о регулировании численности охотничьих ресурсов, утвержденные приказом Министерства природных ресурсов и экологии Российской Федерации от 13 января 2011 г. № 1». 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4) Приказ Минсельхоза России от 20.01.2009 № 23 «Об утверждении Порядка регулирования численности объектов животного мира, отнесенных к объектам охоты»;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5) Приказ Минприроды России от 13.01.2011 № 1 «Об утверждении Порядка принятия решения о регулировании численности охотничьих ресурсов и его формы»;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6) Приказ Минприроды России от 29.08.2014 № 379 «Об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птиц»;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7) Приказ Минприроды России от 24.07.2020 № 477 «Об утверждении Правил охоты».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D06ACE" w:rsidP="00D06ACE">
      <w:pPr>
        <w:pStyle w:val="a4"/>
        <w:spacing w:before="0" w:beforeAutospacing="0" w:after="0" w:line="240" w:lineRule="auto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II. Обязательные требования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Регулирование численности охотничьих ресурсов осуществляется в целях поддержания численности охотничьих ресурсов, предотвращения возникновения и распространения болезней охотничьих ресурсов, нанесения ущерба здоровью граждан, объектам животного мира и среде их обитания.</w:t>
      </w:r>
    </w:p>
    <w:p w:rsidR="00C3584E" w:rsidRDefault="00D06ACE" w:rsidP="00C3584E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Регулирование численности охотничьих ресурсов осуществляется на основании решений Департамента</w:t>
      </w:r>
      <w:r w:rsidR="00C3584E">
        <w:rPr>
          <w:rFonts w:ascii="Liberation Serif" w:hAnsi="Liberation Serif"/>
          <w:sz w:val="28"/>
          <w:szCs w:val="28"/>
        </w:rPr>
        <w:t xml:space="preserve">. </w:t>
      </w:r>
    </w:p>
    <w:p w:rsidR="00C3584E" w:rsidRPr="00C3584E" w:rsidRDefault="00C3584E" w:rsidP="00C358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C3584E">
        <w:rPr>
          <w:rFonts w:ascii="Liberation Serif" w:hAnsi="Liberation Serif"/>
          <w:color w:val="000000" w:themeColor="text1"/>
          <w:sz w:val="28"/>
          <w:szCs w:val="28"/>
        </w:rPr>
        <w:t>Основаниями для принятия решения о регулировании численности являются: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C3584E">
        <w:rPr>
          <w:rFonts w:ascii="Liberation Serif" w:hAnsi="Liberation Serif"/>
          <w:color w:val="000000" w:themeColor="text1"/>
          <w:sz w:val="28"/>
          <w:szCs w:val="28"/>
        </w:rPr>
        <w:t>а) угроза возникновения или распространения болезней охотничьих ресурсов;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C3584E">
        <w:rPr>
          <w:rFonts w:ascii="Liberation Serif" w:hAnsi="Liberation Serif"/>
          <w:color w:val="000000" w:themeColor="text1"/>
          <w:sz w:val="28"/>
          <w:szCs w:val="28"/>
        </w:rPr>
        <w:t>б) угроза нанесения ущерба здоровью граждан охотничьими ресурсами;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C3584E">
        <w:rPr>
          <w:rFonts w:ascii="Liberation Serif" w:hAnsi="Liberation Serif"/>
          <w:color w:val="000000" w:themeColor="text1"/>
          <w:sz w:val="28"/>
          <w:szCs w:val="28"/>
        </w:rPr>
        <w:t>в) угроза нанесения ущерба объектам животного мира и среде их обитания охотничьими ресурсами, в том числе причинение особи охотничьих ресурсов травмы, исключающей самостоятельное жизнеобеспечение указанной особи. Срок проведения мероприятий по регулированию численности охотничьих ресурсов не может превышать: 1) в случае угрозы возникновения или распространения болезней охотничьих ресурсов и в случае угрозы нанесения ущерба здоровью граждан охотничьими ресурсами или в случае угрозы нанесения ущерба объектам животного мира и среде их обитания охотничьими ресурсами - 30 календарных дней; 2) в случае причинения особи охотничьих ресурсов травмы, исключающей самостоятельное жизнеобеспечение указанной особи, - 1 сутки.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решении о регулировании численности содержатся сведения о видах, поле, возрасте охотничьих ресурсов, численность которых регулируется, сроках и способах такого регулирования, об орудиях охоты, применяемых при регулировании численности охотничьих ресурсов, о количестве особей охотничьих ресурсов, предполагаемых к добыче, об использовании продукции охоты, а также сведения об органе государственной власти, принявшем решение о регулировании численности, о причинах, вызвавших необходимость регулирования численности охотничьих ресурсов, об охотничьих угодьях или иных территориях, являющихся средой обитания </w:t>
      </w:r>
      <w:r>
        <w:rPr>
          <w:rFonts w:ascii="Liberation Serif" w:hAnsi="Liberation Serif"/>
          <w:sz w:val="28"/>
          <w:szCs w:val="28"/>
        </w:rPr>
        <w:lastRenderedPageBreak/>
        <w:t>охотничьих ресурсов, на которых осуществляется регулирование численности охотничьих ресурсов.</w:t>
      </w:r>
    </w:p>
    <w:p w:rsidR="00C3584E" w:rsidRPr="00C3584E" w:rsidRDefault="00C3584E" w:rsidP="00C358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C3584E">
        <w:rPr>
          <w:rFonts w:ascii="Liberation Serif" w:hAnsi="Liberation Serif"/>
          <w:color w:val="000000" w:themeColor="text1"/>
          <w:sz w:val="28"/>
          <w:szCs w:val="28"/>
        </w:rPr>
        <w:t xml:space="preserve">В течение двух рабочих дней с даты принятия решения о регулировании численности размещается в сети Интернет на официальном сайте </w:t>
      </w:r>
      <w:r w:rsidR="007F1C9E">
        <w:rPr>
          <w:rFonts w:ascii="Liberation Serif" w:hAnsi="Liberation Serif"/>
          <w:color w:val="000000" w:themeColor="text1"/>
          <w:sz w:val="28"/>
          <w:szCs w:val="28"/>
        </w:rPr>
        <w:t>Департамента (</w:t>
      </w:r>
      <w:r w:rsidR="007F1C9E" w:rsidRPr="007F1C9E">
        <w:rPr>
          <w:rFonts w:ascii="Liberation Serif" w:hAnsi="Liberation Serif"/>
          <w:color w:val="000000" w:themeColor="text1"/>
          <w:sz w:val="28"/>
          <w:szCs w:val="28"/>
        </w:rPr>
        <w:t>https://dozhm.midural.ru/article/show/id/1114</w:t>
      </w:r>
      <w:r w:rsidR="007F1C9E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Pr="00C3584E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F1C9E" w:rsidRDefault="007F1C9E" w:rsidP="00C358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Кроме того,  Департамент </w:t>
      </w:r>
      <w:r w:rsidR="00C3584E" w:rsidRPr="00C3584E">
        <w:rPr>
          <w:rFonts w:ascii="Liberation Serif" w:hAnsi="Liberation Serif"/>
          <w:color w:val="000000" w:themeColor="text1"/>
          <w:sz w:val="28"/>
          <w:szCs w:val="28"/>
        </w:rPr>
        <w:t>по телефону, электронной почте (при наличии) или в письменном виде информирует о содержании решения о регулировании численности юридических лиц и индивидуальных предпринимателей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3584E" w:rsidRPr="00C3584E">
        <w:rPr>
          <w:rFonts w:ascii="Liberation Serif" w:hAnsi="Liberation Serif"/>
          <w:color w:val="000000" w:themeColor="text1"/>
          <w:sz w:val="28"/>
          <w:szCs w:val="28"/>
        </w:rPr>
        <w:t xml:space="preserve">не позднее чем за два рабочих дня до начала срока проведения мероприятий по регулированию </w:t>
      </w:r>
      <w:r>
        <w:rPr>
          <w:rFonts w:ascii="Liberation Serif" w:hAnsi="Liberation Serif"/>
          <w:color w:val="000000" w:themeColor="text1"/>
          <w:sz w:val="28"/>
          <w:szCs w:val="28"/>
        </w:rPr>
        <w:t>численности охотничьих ресурсов</w:t>
      </w:r>
      <w:r w:rsidR="00C3584E" w:rsidRPr="00C3584E">
        <w:rPr>
          <w:rFonts w:ascii="Liberation Serif" w:hAnsi="Liberation Serif"/>
          <w:color w:val="000000" w:themeColor="text1"/>
          <w:sz w:val="28"/>
          <w:szCs w:val="28"/>
        </w:rPr>
        <w:t>.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3584E" w:rsidRPr="00C3584E">
        <w:rPr>
          <w:rFonts w:ascii="Liberation Serif" w:hAnsi="Liberation Serif"/>
          <w:color w:val="000000" w:themeColor="text1"/>
          <w:sz w:val="28"/>
          <w:szCs w:val="28"/>
        </w:rPr>
        <w:t xml:space="preserve">В случае если срок проведения мероприятий по регулированию численности охотничьих ресурсов на территории закрепленных охотничьих угодий не превышает трех календарных дней,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сведения о принятом решении </w:t>
      </w:r>
      <w:r w:rsidR="00C3584E" w:rsidRPr="00C3584E">
        <w:rPr>
          <w:rFonts w:ascii="Liberation Serif" w:hAnsi="Liberation Serif"/>
          <w:color w:val="000000" w:themeColor="text1"/>
          <w:sz w:val="28"/>
          <w:szCs w:val="28"/>
        </w:rPr>
        <w:t xml:space="preserve">направляются охотпользователям в день принятия </w:t>
      </w:r>
      <w:r>
        <w:rPr>
          <w:rFonts w:ascii="Liberation Serif" w:hAnsi="Liberation Serif"/>
          <w:color w:val="000000" w:themeColor="text1"/>
          <w:sz w:val="28"/>
          <w:szCs w:val="28"/>
        </w:rPr>
        <w:t>такого.</w:t>
      </w:r>
    </w:p>
    <w:p w:rsidR="007F1C9E" w:rsidRDefault="00C3584E" w:rsidP="00C358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C3584E">
        <w:rPr>
          <w:rFonts w:ascii="Liberation Serif" w:hAnsi="Liberation Serif"/>
          <w:color w:val="000000" w:themeColor="text1"/>
          <w:sz w:val="28"/>
          <w:szCs w:val="28"/>
        </w:rPr>
        <w:t>Регулирование численности охотничьих ресурсов осуществляется в срок, указанный в решении о регулировании численности</w:t>
      </w:r>
      <w:r w:rsidR="007F1C9E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Регулирование численности охотничьих ресурсов должно осуществляться способами, исключающими нанесение ущерба другим объектам животного мира.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Охота в целях регулирования численности охотничьих ресурсов в закрепленных охотничьих угодьях осуществляется юридическими лицами и индив</w:t>
      </w:r>
      <w:r>
        <w:rPr>
          <w:rFonts w:ascii="Liberation Serif" w:hAnsi="Liberation Serif"/>
          <w:color w:val="000000"/>
          <w:sz w:val="28"/>
          <w:szCs w:val="28"/>
        </w:rPr>
        <w:t>идуальными предпринимателями, заключившими охотхозяйственные соглашения.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При этом согласно положениям Приказа Минприроды России от 24.12.2010 № 560 «Об утверждении видов и состава биотехнических мероприятий, а также порядка их проведения в целях сохранения охотничьих ресурсов»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 является биотехническим мероприятием, направленным на поддержание и увеличение численности охотничьих ресурсов.</w:t>
      </w:r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  <w:bookmarkStart w:id="1" w:name="sub_829"/>
      <w:bookmarkStart w:id="2" w:name="sub_828"/>
      <w:bookmarkEnd w:id="1"/>
      <w:bookmarkEnd w:id="2"/>
      <w:r>
        <w:rPr>
          <w:rFonts w:ascii="Liberation Serif" w:hAnsi="Liberation Serif"/>
          <w:color w:val="000000"/>
          <w:sz w:val="28"/>
          <w:szCs w:val="28"/>
        </w:rPr>
        <w:t>Также пунктами  8.2.7, 8.2.9 охотхозяйственного соглашения на охотпользователей возложены обязанности проводить мероприятия по сохранению охотничьих ресурсов и среды их обитания, а также мероприятия, обеспечивающие охрану и воспроизводство охотничьих ресурсов, а также редких и находящихся под угрозой исчезновения объектов животного мира.</w:t>
      </w:r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6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Департамент</w:t>
        </w:r>
      </w:hyperlink>
      <w:hyperlink r:id="rId7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 xml:space="preserve"> в целях регулирования численности охотничьих ресурсов в закрепленных охотничьих угодьях предоставляет охотпользователям бланки разрешений на добычу охотничьих ресурсов.</w:t>
        </w:r>
      </w:hyperlink>
      <w:hyperlink r:id="rId8" w:history="1">
        <w:r w:rsidR="00D06ACE">
          <w:rPr>
            <w:rStyle w:val="a3"/>
            <w:rFonts w:ascii="Liberation Serif" w:hAnsi="Liberation Serif"/>
            <w:color w:val="000000"/>
            <w:u w:val="none"/>
          </w:rPr>
          <w:t xml:space="preserve"> 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9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 xml:space="preserve">Бланки разрешений на добычу охотничьих ресурсов могут быть использованы охотпользователями исключительно для выдачи разрешений на добычу охотничьих ресурсов работникам охотпользователей, выполняющим обязанности, связанные с осуществлением охоты и сохранением охотничьих </w:t>
        </w:r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lastRenderedPageBreak/>
          <w:t>ресурсов, на основании трудового или гражданско-правового договора в целях проведения мероприятий по регулированию численности охотничьих ресурсов.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10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Выдача бланков и разрешений осуществляется в соответствии с приказом Минприроды России от 29.08.2014 № 379 «Об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птиц».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11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Охотпользователь, учреждение, осуществляющее управление</w:t>
        </w:r>
      </w:hyperlink>
      <w:hyperlink r:id="rId12" w:history="1">
        <w:r w:rsidR="00D06ACE">
          <w:rPr>
            <w:rStyle w:val="a3"/>
            <w:rFonts w:ascii="Liberation Serif" w:hAnsi="Liberation Serif"/>
            <w:color w:val="000000"/>
            <w:u w:val="none"/>
          </w:rPr>
          <w:t xml:space="preserve"> </w:t>
        </w:r>
      </w:hyperlink>
      <w:hyperlink r:id="rId13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особо охраняемыми природными территориями, оформляет разрешение, путем заполнения бланка разрешения с использованием штампов, печатей, машинописных средств либо ручкой с пастой (чернилами) черного или синего цвета, и выдает заполненное разрешение заявителю, о получении которого делается соответствующая отметка в разрешении, либо направляет заявителю письменный мотивированный отказ в выдаче разрешения с указанием причин отказа, в том числе если отсутствует решение уполномоченного органа о регулировании численности охотничьих ресурсов, либо содержание заявления не соответствует решению уполномоченного органа о регулировании численности охотничьих ресурсов, если при выдаче заявителю разрешения будет превышено количество особей охотничьих ресурсов, подлежащих регулированию в соответствии с решением о регулировании численности охотничьих ресурсов.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14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При осуществлении охоты в целях регулирования численности волка, шакала, лисицы допускается использование механических транспортных средств и летательных аппаратов, если в соответствующем разрешении на добычу охотничьих ресурсов указаны регистрационные номера</w:t>
        </w:r>
      </w:hyperlink>
      <w:hyperlink r:id="rId15" w:history="1">
        <w:r w:rsidR="00D06ACE">
          <w:rPr>
            <w:rStyle w:val="a3"/>
            <w:rFonts w:ascii="Liberation Serif" w:hAnsi="Liberation Serif"/>
            <w:color w:val="000000"/>
            <w:u w:val="none"/>
          </w:rPr>
          <w:t xml:space="preserve"> (</w:t>
        </w:r>
      </w:hyperlink>
      <w:hyperlink r:id="rId16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 xml:space="preserve">марка, модель и регистрационные номера) конкретных транспортных средств, с использованием которых планируется осуществление охоты. 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17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 xml:space="preserve">При выдаче разрешения на регулирование численности объекта животного мира, в отношении которого в соответствии с пунктом 1 статьи 333.3 Налогового кодекса Российской Федерации установлены ставки сбора за каждый объект животного мира, ставка сбора устанавливаются в размере 0 рублей. 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18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В случае если продукция охоты, полученная при осуществлении охоты в целях регулирования численности охотничьих ресурсов, не используется для личного потребления охотниками и приравненными к ним лицами, данная продукция реализуется организациям, осуществляющим деятельность по закупке продукции охоты, или уничтожается в соответствии с законодательством Российской Федерации о ветеринарии.</w:t>
        </w:r>
      </w:hyperlink>
    </w:p>
    <w:p w:rsidR="00D06ACE" w:rsidRDefault="008D3FCD" w:rsidP="00D06ACE">
      <w:pPr>
        <w:pStyle w:val="a4"/>
        <w:spacing w:before="0" w:beforeAutospacing="0" w:after="0" w:line="240" w:lineRule="auto"/>
        <w:ind w:firstLine="709"/>
        <w:jc w:val="both"/>
      </w:pPr>
      <w:hyperlink r:id="rId19" w:history="1"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 xml:space="preserve">По результатам проведения мероприятий по регулированию численности охотничьих ресурсов охотпользователи и учреждения не позднее 10 календарных дней со дня окончания установленного срока регулирования численности охотничьих ресурсов направляют в уполномоченный орган </w:t>
        </w:r>
        <w:r w:rsidR="00D06ACE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lastRenderedPageBreak/>
          <w:t xml:space="preserve">информацию о регулировании численности охотничьих ресурсов по форме 5.2 (РЧ) «Документированная информация о регулировании численности охотничьих ресурсов», утвержденной приказом Минприроды России от 28.07.2021 №  519. </w:t>
        </w:r>
      </w:hyperlink>
    </w:p>
    <w:p w:rsidR="00D06ACE" w:rsidRDefault="00D06ACE" w:rsidP="00D06ACE">
      <w:pPr>
        <w:pStyle w:val="a4"/>
        <w:spacing w:before="0" w:beforeAutospacing="0" w:after="0" w:line="240" w:lineRule="auto"/>
        <w:ind w:firstLine="709"/>
        <w:jc w:val="both"/>
      </w:pPr>
    </w:p>
    <w:p w:rsidR="00D06ACE" w:rsidRDefault="008D3FCD" w:rsidP="00D06ACE">
      <w:pPr>
        <w:pStyle w:val="a4"/>
        <w:spacing w:before="0" w:beforeAutospacing="0" w:after="0" w:line="240" w:lineRule="auto"/>
        <w:jc w:val="center"/>
      </w:pPr>
      <w:hyperlink r:id="rId20" w:history="1">
        <w:r w:rsidR="00D06ACE">
          <w:rPr>
            <w:rStyle w:val="a3"/>
            <w:rFonts w:ascii="Liberation Serif" w:hAnsi="Liberation Serif"/>
            <w:b/>
            <w:bCs/>
            <w:color w:val="000000"/>
            <w:sz w:val="28"/>
            <w:szCs w:val="28"/>
            <w:u w:val="none"/>
          </w:rPr>
          <w:t>III. Ответственность за нарушение требований законодательства</w:t>
        </w:r>
      </w:hyperlink>
    </w:p>
    <w:p w:rsidR="00D06ACE" w:rsidRDefault="00D06ACE" w:rsidP="00D06ACE">
      <w:pPr>
        <w:pStyle w:val="a4"/>
        <w:shd w:val="clear" w:color="auto" w:fill="FFFFFF"/>
        <w:spacing w:before="0" w:beforeAutospacing="0" w:after="0" w:line="240" w:lineRule="auto"/>
        <w:ind w:firstLine="709"/>
        <w:jc w:val="both"/>
      </w:pPr>
    </w:p>
    <w:p w:rsidR="007F1C9E" w:rsidRPr="007F1C9E" w:rsidRDefault="007F1C9E" w:rsidP="00D06ACE">
      <w:pPr>
        <w:pStyle w:val="a4"/>
        <w:shd w:val="clear" w:color="auto" w:fill="FFFFFF"/>
        <w:spacing w:before="0" w:beforeAutospacing="0"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7F1C9E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Непредставление или несвоевременное представление в Департамент Документированной информации о регулировании численности охотничьих ресурсов образует состав административного правонарушения, предусмотренного статьей 19.7 Кодекса Российской Федерации об административных правонарушениях и влечет за собой назначение административного наказания в виде административного штрафа на должностных лиц - от трехсот до пятисот рублей; на юридических лиц - от трех тысяч до пяти тысяч рублей. </w:t>
      </w:r>
    </w:p>
    <w:p w:rsidR="00D06ACE" w:rsidRPr="0077056E" w:rsidRDefault="007F1C9E" w:rsidP="00D06ACE">
      <w:pPr>
        <w:pStyle w:val="a4"/>
        <w:spacing w:before="0" w:beforeAutospacing="0"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Н</w:t>
      </w:r>
      <w:r w:rsidR="00D06ACE" w:rsidRPr="0077056E">
        <w:rPr>
          <w:rFonts w:ascii="Liberation Serif" w:hAnsi="Liberation Serif"/>
          <w:sz w:val="28"/>
          <w:szCs w:val="28"/>
        </w:rPr>
        <w:t>евыполнение или ненадлежащее выполнение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D06ACE" w:rsidRPr="0077056E">
        <w:rPr>
          <w:rFonts w:ascii="Liberation Serif" w:hAnsi="Liberation Serif"/>
          <w:sz w:val="28"/>
          <w:szCs w:val="28"/>
        </w:rPr>
        <w:t>охотпользоваелем обязательств и требований, предусмотренных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="00D06ACE" w:rsidRPr="0077056E">
        <w:rPr>
          <w:rFonts w:ascii="Liberation Serif" w:hAnsi="Liberation Serif"/>
          <w:sz w:val="28"/>
          <w:szCs w:val="28"/>
        </w:rPr>
        <w:t>охотхозяйственным соглашением, является основанием для прекращения соглашения в порядке, установленном законодательством Российской Федерации.</w:t>
      </w:r>
    </w:p>
    <w:p w:rsidR="00D06ACE" w:rsidRPr="0077056E" w:rsidRDefault="00D06ACE" w:rsidP="00D06ACE">
      <w:pPr>
        <w:pStyle w:val="a4"/>
        <w:spacing w:before="0" w:beforeAutospacing="0" w:after="0" w:line="240" w:lineRule="auto"/>
        <w:ind w:firstLine="720"/>
        <w:jc w:val="both"/>
      </w:pPr>
      <w:bookmarkStart w:id="3" w:name="sub_25812"/>
      <w:bookmarkEnd w:id="3"/>
      <w:r w:rsidRPr="0077056E">
        <w:rPr>
          <w:rFonts w:ascii="Liberation Serif" w:hAnsi="Liberation Serif"/>
          <w:sz w:val="28"/>
          <w:szCs w:val="28"/>
        </w:rPr>
        <w:t xml:space="preserve">Незаконная охота, если это деяние совершено с применением </w:t>
      </w:r>
      <w:hyperlink r:id="rId21" w:history="1">
        <w:r w:rsidRPr="0077056E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механического транспортного средства</w:t>
        </w:r>
      </w:hyperlink>
      <w:r w:rsidR="00A92477" w:rsidRPr="0077056E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,</w:t>
      </w:r>
      <w:r w:rsidRPr="0077056E">
        <w:rPr>
          <w:rFonts w:ascii="Liberation Serif" w:hAnsi="Liberation Serif"/>
          <w:sz w:val="28"/>
          <w:szCs w:val="28"/>
        </w:rPr>
        <w:t xml:space="preserve"> образует состав преступления, предусмотренный статьей 258 Уголовного кодекса Российской Федерации.</w:t>
      </w:r>
    </w:p>
    <w:sectPr w:rsidR="00D06ACE" w:rsidRPr="0077056E" w:rsidSect="00877805">
      <w:headerReference w:type="default" r:id="rId22"/>
      <w:pgSz w:w="11906" w:h="16838"/>
      <w:pgMar w:top="1134" w:right="850" w:bottom="1134" w:left="170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CD" w:rsidRDefault="008D3FCD" w:rsidP="009C0832">
      <w:pPr>
        <w:spacing w:after="0" w:line="240" w:lineRule="auto"/>
      </w:pPr>
      <w:r>
        <w:separator/>
      </w:r>
    </w:p>
  </w:endnote>
  <w:endnote w:type="continuationSeparator" w:id="0">
    <w:p w:rsidR="008D3FCD" w:rsidRDefault="008D3FCD" w:rsidP="009C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CD" w:rsidRDefault="008D3FCD" w:rsidP="009C0832">
      <w:pPr>
        <w:spacing w:after="0" w:line="240" w:lineRule="auto"/>
      </w:pPr>
      <w:r>
        <w:separator/>
      </w:r>
    </w:p>
  </w:footnote>
  <w:footnote w:type="continuationSeparator" w:id="0">
    <w:p w:rsidR="008D3FCD" w:rsidRDefault="008D3FCD" w:rsidP="009C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642814"/>
      <w:docPartObj>
        <w:docPartGallery w:val="Page Numbers (Top of Page)"/>
        <w:docPartUnique/>
      </w:docPartObj>
    </w:sdtPr>
    <w:sdtEndPr/>
    <w:sdtContent>
      <w:p w:rsidR="009C0832" w:rsidRDefault="009C08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B2">
          <w:rPr>
            <w:noProof/>
          </w:rPr>
          <w:t>22</w:t>
        </w:r>
        <w:r>
          <w:fldChar w:fldCharType="end"/>
        </w:r>
      </w:p>
    </w:sdtContent>
  </w:sdt>
  <w:p w:rsidR="009C0832" w:rsidRDefault="009C08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CE"/>
    <w:rsid w:val="00033E78"/>
    <w:rsid w:val="00180D74"/>
    <w:rsid w:val="003238B2"/>
    <w:rsid w:val="00393BB6"/>
    <w:rsid w:val="00407C71"/>
    <w:rsid w:val="004C4AEC"/>
    <w:rsid w:val="005961E0"/>
    <w:rsid w:val="005B13DE"/>
    <w:rsid w:val="0077056E"/>
    <w:rsid w:val="007F1C9E"/>
    <w:rsid w:val="0082475C"/>
    <w:rsid w:val="008616C6"/>
    <w:rsid w:val="00877805"/>
    <w:rsid w:val="008B2D69"/>
    <w:rsid w:val="008D3FCD"/>
    <w:rsid w:val="00975360"/>
    <w:rsid w:val="009C0832"/>
    <w:rsid w:val="00A11248"/>
    <w:rsid w:val="00A84790"/>
    <w:rsid w:val="00A92477"/>
    <w:rsid w:val="00AD32DB"/>
    <w:rsid w:val="00B5332B"/>
    <w:rsid w:val="00C3584E"/>
    <w:rsid w:val="00D06ACE"/>
    <w:rsid w:val="00D446D5"/>
    <w:rsid w:val="00D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102F-8CC3-43A5-8F65-ADC54C2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ACE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06AC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0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832"/>
  </w:style>
  <w:style w:type="paragraph" w:styleId="a7">
    <w:name w:val="footer"/>
    <w:basedOn w:val="a"/>
    <w:link w:val="a8"/>
    <w:uiPriority w:val="99"/>
    <w:unhideWhenUsed/>
    <w:rsid w:val="009C0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832"/>
  </w:style>
  <w:style w:type="paragraph" w:styleId="a9">
    <w:name w:val="Balloon Text"/>
    <w:basedOn w:val="a"/>
    <w:link w:val="aa"/>
    <w:uiPriority w:val="99"/>
    <w:semiHidden/>
    <w:unhideWhenUsed/>
    <w:rsid w:val="0087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05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3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7F1C9E"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sid w:val="007F1C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218651.828" TargetMode="External"/><Relationship Id="rId13" Type="http://schemas.openxmlformats.org/officeDocument/2006/relationships/hyperlink" Target="garantf1://77218651.828" TargetMode="External"/><Relationship Id="rId18" Type="http://schemas.openxmlformats.org/officeDocument/2006/relationships/hyperlink" Target="garantf1://77218651.8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146708.10" TargetMode="External"/><Relationship Id="rId7" Type="http://schemas.openxmlformats.org/officeDocument/2006/relationships/hyperlink" Target="garantf1://77218651.828" TargetMode="External"/><Relationship Id="rId12" Type="http://schemas.openxmlformats.org/officeDocument/2006/relationships/hyperlink" Target="garantf1://77218651.828" TargetMode="External"/><Relationship Id="rId17" Type="http://schemas.openxmlformats.org/officeDocument/2006/relationships/hyperlink" Target="garantf1://77218651.828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7218651.828" TargetMode="External"/><Relationship Id="rId20" Type="http://schemas.openxmlformats.org/officeDocument/2006/relationships/hyperlink" Target="garantf1://77218651.828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7218651.828" TargetMode="External"/><Relationship Id="rId11" Type="http://schemas.openxmlformats.org/officeDocument/2006/relationships/hyperlink" Target="garantf1://77218651.828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garantf1://77218651.828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7218651.828" TargetMode="External"/><Relationship Id="rId19" Type="http://schemas.openxmlformats.org/officeDocument/2006/relationships/hyperlink" Target="garantf1://77218651.828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7218651.828" TargetMode="External"/><Relationship Id="rId14" Type="http://schemas.openxmlformats.org/officeDocument/2006/relationships/hyperlink" Target="garantf1://77218651.82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Юлия Сергеевна</dc:creator>
  <cp:keywords/>
  <dc:description/>
  <cp:lastModifiedBy>Быкова Юлия Сергеевна</cp:lastModifiedBy>
  <cp:revision>2</cp:revision>
  <cp:lastPrinted>2024-12-13T05:34:00Z</cp:lastPrinted>
  <dcterms:created xsi:type="dcterms:W3CDTF">2025-09-24T08:29:00Z</dcterms:created>
  <dcterms:modified xsi:type="dcterms:W3CDTF">2025-09-24T08:29:00Z</dcterms:modified>
</cp:coreProperties>
</file>